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B3A" w:rsidRPr="00B84CBC" w:rsidRDefault="00B45B3A" w:rsidP="00B45B3A">
      <w:pPr>
        <w:pStyle w:val="1"/>
        <w:keepNext w:val="0"/>
        <w:autoSpaceDE w:val="0"/>
        <w:autoSpaceDN w:val="0"/>
        <w:adjustRightInd w:val="0"/>
        <w:spacing w:before="0"/>
        <w:ind w:left="5670"/>
        <w:rPr>
          <w:rFonts w:ascii="Times New Roman" w:eastAsia="Calibri" w:hAnsi="Times New Roman"/>
          <w:b w:val="0"/>
          <w:bCs w:val="0"/>
          <w:kern w:val="0"/>
          <w:sz w:val="26"/>
          <w:szCs w:val="26"/>
        </w:rPr>
      </w:pPr>
      <w:r w:rsidRPr="00B84CBC">
        <w:rPr>
          <w:rFonts w:ascii="Times New Roman" w:eastAsia="Calibri" w:hAnsi="Times New Roman"/>
          <w:b w:val="0"/>
          <w:bCs w:val="0"/>
          <w:kern w:val="0"/>
          <w:sz w:val="26"/>
          <w:szCs w:val="26"/>
        </w:rPr>
        <w:t xml:space="preserve">Приложение </w:t>
      </w:r>
    </w:p>
    <w:p w:rsidR="00B45B3A" w:rsidRPr="00B84CBC" w:rsidRDefault="00B45B3A" w:rsidP="00B45B3A">
      <w:pPr>
        <w:ind w:left="5670"/>
        <w:rPr>
          <w:rFonts w:eastAsia="Calibri"/>
        </w:rPr>
      </w:pPr>
      <w:r w:rsidRPr="00B84CBC">
        <w:rPr>
          <w:rFonts w:eastAsia="Calibri"/>
        </w:rPr>
        <w:t>к письму от ______ 2020 №____</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ДОКЛАД</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u w:val="single"/>
        </w:rPr>
      </w:pPr>
      <w:r w:rsidRPr="00B84CBC">
        <w:rPr>
          <w:rFonts w:ascii="Times New Roman" w:eastAsia="Calibri" w:hAnsi="Times New Roman"/>
          <w:bCs w:val="0"/>
          <w:kern w:val="0"/>
          <w:sz w:val="26"/>
          <w:szCs w:val="26"/>
          <w:u w:val="single"/>
        </w:rPr>
        <w:t>Валова Михаила Анатольевича</w:t>
      </w:r>
    </w:p>
    <w:p w:rsidR="00B45B3A" w:rsidRPr="00B84CBC" w:rsidRDefault="00B45B3A" w:rsidP="00B45B3A">
      <w:pPr>
        <w:rPr>
          <w:rFonts w:eastAsia="Calibri"/>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u w:val="single"/>
        </w:rPr>
      </w:pPr>
      <w:r w:rsidRPr="00B84CBC">
        <w:rPr>
          <w:rFonts w:ascii="Times New Roman" w:eastAsia="Calibri" w:hAnsi="Times New Roman"/>
          <w:bCs w:val="0"/>
          <w:kern w:val="0"/>
          <w:sz w:val="26"/>
          <w:szCs w:val="26"/>
          <w:u w:val="single"/>
        </w:rPr>
        <w:t>Главы муниципального образования город Саяногорск</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о достигнутых значениях показателей для оценки эффективности</w:t>
      </w:r>
    </w:p>
    <w:p w:rsidR="00B45B3A" w:rsidRPr="00B84CBC" w:rsidRDefault="00B45B3A" w:rsidP="00B45B3A">
      <w:pPr>
        <w:rPr>
          <w:rFonts w:eastAsia="Calibri"/>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 xml:space="preserve">деятельности органов местного самоуправления </w:t>
      </w:r>
    </w:p>
    <w:p w:rsidR="00B45B3A" w:rsidRPr="00B84CBC" w:rsidRDefault="00B45B3A" w:rsidP="00B45B3A">
      <w:pPr>
        <w:rPr>
          <w:rFonts w:eastAsia="Calibri"/>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 xml:space="preserve">за </w:t>
      </w:r>
      <w:r w:rsidRPr="00B84CBC">
        <w:rPr>
          <w:rFonts w:ascii="Times New Roman" w:eastAsia="Calibri" w:hAnsi="Times New Roman"/>
          <w:bCs w:val="0"/>
          <w:kern w:val="0"/>
          <w:sz w:val="26"/>
          <w:szCs w:val="26"/>
          <w:u w:val="single"/>
        </w:rPr>
        <w:t>2019</w:t>
      </w:r>
      <w:r w:rsidRPr="00B84CBC">
        <w:rPr>
          <w:rFonts w:ascii="Times New Roman" w:eastAsia="Calibri" w:hAnsi="Times New Roman"/>
          <w:bCs w:val="0"/>
          <w:kern w:val="0"/>
          <w:sz w:val="26"/>
          <w:szCs w:val="26"/>
        </w:rPr>
        <w:t xml:space="preserve"> год и их планируемых значениях на 3-летний период</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ind w:left="567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Подпись ___________________</w:t>
      </w:r>
    </w:p>
    <w:p w:rsidR="00B45B3A" w:rsidRPr="00B84CBC" w:rsidRDefault="00B45B3A" w:rsidP="00B45B3A">
      <w:pPr>
        <w:pStyle w:val="1"/>
        <w:keepNext w:val="0"/>
        <w:autoSpaceDE w:val="0"/>
        <w:autoSpaceDN w:val="0"/>
        <w:adjustRightInd w:val="0"/>
        <w:spacing w:before="0"/>
        <w:ind w:left="5670"/>
        <w:jc w:val="center"/>
        <w:rPr>
          <w:rFonts w:ascii="Times New Roman" w:eastAsia="Calibri" w:hAnsi="Times New Roman"/>
          <w:bCs w:val="0"/>
          <w:kern w:val="0"/>
          <w:sz w:val="26"/>
          <w:szCs w:val="26"/>
        </w:rPr>
      </w:pPr>
    </w:p>
    <w:p w:rsidR="00B45B3A" w:rsidRPr="00B84CBC" w:rsidRDefault="00B45B3A" w:rsidP="00B45B3A">
      <w:pPr>
        <w:pStyle w:val="1"/>
        <w:keepNext w:val="0"/>
        <w:autoSpaceDE w:val="0"/>
        <w:autoSpaceDN w:val="0"/>
        <w:adjustRightInd w:val="0"/>
        <w:spacing w:before="0"/>
        <w:ind w:left="5670"/>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 xml:space="preserve">    Дата "__" _________ 2020 г.</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B3A" w:rsidRPr="00B84CBC" w:rsidRDefault="00B45B3A" w:rsidP="00B45B3A">
      <w:pPr>
        <w:rPr>
          <w:rFonts w:eastAsia="Calibri"/>
        </w:rPr>
      </w:pPr>
    </w:p>
    <w:p w:rsidR="00B459C0" w:rsidRPr="00B84CBC" w:rsidRDefault="00B459C0" w:rsidP="00B45B3A">
      <w:pPr>
        <w:pStyle w:val="1"/>
        <w:keepNext w:val="0"/>
        <w:autoSpaceDE w:val="0"/>
        <w:autoSpaceDN w:val="0"/>
        <w:adjustRightInd w:val="0"/>
        <w:spacing w:before="0"/>
        <w:jc w:val="center"/>
        <w:rPr>
          <w:rFonts w:ascii="Times New Roman" w:eastAsia="Calibri" w:hAnsi="Times New Roman"/>
          <w:bCs w:val="0"/>
          <w:kern w:val="0"/>
          <w:sz w:val="26"/>
          <w:szCs w:val="26"/>
        </w:rPr>
        <w:sectPr w:rsidR="00B459C0" w:rsidRPr="00B84CBC" w:rsidSect="009542AD">
          <w:headerReference w:type="default" r:id="rId8"/>
          <w:footerReference w:type="default" r:id="rId9"/>
          <w:pgSz w:w="11906" w:h="16838" w:code="9"/>
          <w:pgMar w:top="851" w:right="851" w:bottom="851" w:left="1276" w:header="284" w:footer="0" w:gutter="0"/>
          <w:cols w:space="708"/>
          <w:docGrid w:linePitch="360"/>
        </w:sectPr>
      </w:pP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lastRenderedPageBreak/>
        <w:t>I. Показатели эффективности деятельности органов местного</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r w:rsidRPr="00B84CBC">
        <w:rPr>
          <w:rFonts w:ascii="Times New Roman" w:eastAsia="Calibri" w:hAnsi="Times New Roman"/>
          <w:bCs w:val="0"/>
          <w:kern w:val="0"/>
          <w:sz w:val="26"/>
          <w:szCs w:val="26"/>
        </w:rPr>
        <w:t>самоуправления городского округа (муниципального района)</w:t>
      </w:r>
    </w:p>
    <w:p w:rsidR="00B45B3A" w:rsidRPr="00B84CBC" w:rsidRDefault="00B45B3A" w:rsidP="00B45B3A">
      <w:pPr>
        <w:ind w:left="1985" w:hanging="1985"/>
        <w:jc w:val="center"/>
        <w:rPr>
          <w:rFonts w:eastAsia="Calibri"/>
          <w:b/>
          <w:sz w:val="26"/>
          <w:szCs w:val="26"/>
          <w:u w:val="single"/>
        </w:rPr>
      </w:pPr>
      <w:r w:rsidRPr="00B84CBC">
        <w:rPr>
          <w:rFonts w:eastAsia="Calibri"/>
          <w:b/>
          <w:sz w:val="26"/>
          <w:szCs w:val="26"/>
          <w:u w:val="single"/>
        </w:rPr>
        <w:t>Республики Хакассия</w:t>
      </w:r>
    </w:p>
    <w:p w:rsidR="00B45B3A" w:rsidRPr="00B84CBC" w:rsidRDefault="00B45B3A" w:rsidP="00B45B3A">
      <w:pPr>
        <w:ind w:left="1985" w:hanging="1985"/>
        <w:jc w:val="center"/>
        <w:rPr>
          <w:rFonts w:eastAsia="Calibri"/>
          <w:b/>
          <w:sz w:val="26"/>
          <w:szCs w:val="26"/>
          <w:u w:val="single"/>
        </w:rPr>
      </w:pPr>
      <w:r w:rsidRPr="00B84CBC">
        <w:rPr>
          <w:rFonts w:eastAsia="Calibri"/>
          <w:b/>
          <w:sz w:val="26"/>
          <w:szCs w:val="26"/>
          <w:u w:val="single"/>
        </w:rPr>
        <w:t>муниципального образования город Саяногорск</w:t>
      </w:r>
    </w:p>
    <w:p w:rsidR="00B45B3A" w:rsidRPr="00B84CBC" w:rsidRDefault="00B45B3A" w:rsidP="00B45B3A">
      <w:pPr>
        <w:pStyle w:val="1"/>
        <w:keepNext w:val="0"/>
        <w:autoSpaceDE w:val="0"/>
        <w:autoSpaceDN w:val="0"/>
        <w:adjustRightInd w:val="0"/>
        <w:spacing w:before="0"/>
        <w:jc w:val="center"/>
        <w:rPr>
          <w:rFonts w:ascii="Times New Roman" w:eastAsia="Calibri" w:hAnsi="Times New Roman"/>
          <w:bCs w:val="0"/>
          <w:kern w:val="0"/>
          <w:sz w:val="26"/>
          <w:szCs w:val="26"/>
        </w:rPr>
      </w:pPr>
    </w:p>
    <w:tbl>
      <w:tblPr>
        <w:tblW w:w="15295" w:type="dxa"/>
        <w:tblInd w:w="93" w:type="dxa"/>
        <w:tblLook w:val="04A0"/>
      </w:tblPr>
      <w:tblGrid>
        <w:gridCol w:w="531"/>
        <w:gridCol w:w="6572"/>
        <w:gridCol w:w="1701"/>
        <w:gridCol w:w="1025"/>
        <w:gridCol w:w="1134"/>
        <w:gridCol w:w="1134"/>
        <w:gridCol w:w="1066"/>
        <w:gridCol w:w="1066"/>
        <w:gridCol w:w="1066"/>
      </w:tblGrid>
      <w:tr w:rsidR="00B459C0" w:rsidRPr="00B459C0" w:rsidTr="00B459C0">
        <w:trPr>
          <w:trHeight w:val="20"/>
          <w:tblHeader/>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 п.п.</w:t>
            </w:r>
          </w:p>
        </w:tc>
        <w:tc>
          <w:tcPr>
            <w:tcW w:w="6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Единица измерения</w:t>
            </w:r>
          </w:p>
        </w:tc>
        <w:tc>
          <w:tcPr>
            <w:tcW w:w="3293" w:type="dxa"/>
            <w:gridSpan w:val="3"/>
            <w:tcBorders>
              <w:top w:val="single" w:sz="4" w:space="0" w:color="auto"/>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 xml:space="preserve">Отчет     </w:t>
            </w:r>
          </w:p>
        </w:tc>
        <w:tc>
          <w:tcPr>
            <w:tcW w:w="3198" w:type="dxa"/>
            <w:gridSpan w:val="3"/>
            <w:tcBorders>
              <w:top w:val="single" w:sz="4" w:space="0" w:color="auto"/>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План</w:t>
            </w:r>
          </w:p>
        </w:tc>
      </w:tr>
      <w:tr w:rsidR="00B459C0" w:rsidRPr="00B459C0" w:rsidTr="00B459C0">
        <w:trPr>
          <w:trHeight w:val="20"/>
          <w:tblHeader/>
        </w:trPr>
        <w:tc>
          <w:tcPr>
            <w:tcW w:w="531" w:type="dxa"/>
            <w:vMerge/>
            <w:tcBorders>
              <w:top w:val="single" w:sz="4" w:space="0" w:color="auto"/>
              <w:left w:val="single" w:sz="4" w:space="0" w:color="auto"/>
              <w:bottom w:val="single" w:sz="4" w:space="0" w:color="auto"/>
              <w:right w:val="single" w:sz="4" w:space="0" w:color="auto"/>
            </w:tcBorders>
            <w:vAlign w:val="center"/>
            <w:hideMark/>
          </w:tcPr>
          <w:p w:rsidR="00B459C0" w:rsidRPr="00B459C0" w:rsidRDefault="00B459C0" w:rsidP="00B459C0">
            <w:pPr>
              <w:rPr>
                <w:sz w:val="20"/>
                <w:szCs w:val="20"/>
              </w:rPr>
            </w:pPr>
          </w:p>
        </w:tc>
        <w:tc>
          <w:tcPr>
            <w:tcW w:w="6572" w:type="dxa"/>
            <w:vMerge/>
            <w:tcBorders>
              <w:top w:val="single" w:sz="4" w:space="0" w:color="auto"/>
              <w:left w:val="single" w:sz="4" w:space="0" w:color="auto"/>
              <w:bottom w:val="single" w:sz="4" w:space="0" w:color="auto"/>
              <w:right w:val="single" w:sz="4" w:space="0" w:color="auto"/>
            </w:tcBorders>
            <w:vAlign w:val="center"/>
            <w:hideMark/>
          </w:tcPr>
          <w:p w:rsidR="00B459C0" w:rsidRPr="00B459C0" w:rsidRDefault="00B459C0" w:rsidP="00B459C0">
            <w:pP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459C0" w:rsidRPr="00B459C0" w:rsidRDefault="00B459C0" w:rsidP="00B459C0">
            <w:pPr>
              <w:rPr>
                <w:sz w:val="20"/>
                <w:szCs w:val="20"/>
              </w:rPr>
            </w:pPr>
          </w:p>
        </w:tc>
        <w:tc>
          <w:tcPr>
            <w:tcW w:w="1025"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2017</w:t>
            </w:r>
          </w:p>
        </w:tc>
        <w:tc>
          <w:tcPr>
            <w:tcW w:w="1134"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2018</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xml:space="preserve"> 2019</w:t>
            </w:r>
          </w:p>
        </w:tc>
        <w:tc>
          <w:tcPr>
            <w:tcW w:w="1066"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2020</w:t>
            </w:r>
          </w:p>
        </w:tc>
        <w:tc>
          <w:tcPr>
            <w:tcW w:w="1066"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2021</w:t>
            </w:r>
          </w:p>
        </w:tc>
        <w:tc>
          <w:tcPr>
            <w:tcW w:w="1066"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2022</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I. Экономическое развитие</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Число субъектов малого и среднего предпринимательства в расчете на 10 тыс. человек  населения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единиц</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317,60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317,60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352,80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359,20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360,80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362,20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18,30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18,80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18,80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18,90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Объем инвестиций в основной капитал (за исключением бюджетных средств) в расчете  на 1 жителя</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62338,30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41431,30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68462,30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111889,30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137709,00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117290,80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4</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37,70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38,60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5</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прибыльных сельскохозяйственных организаций в общем их числе</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6</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46,52</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43,82</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38,33</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42,50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42,50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42,50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7</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8</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Среднемесячная номинальная начисленная заработная плата работников:</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крупных и средних предприятий и некоммерческих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42699,30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45267,90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48829,20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50537,20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52558,70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54661,10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муниципальных дошкольных 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25619,30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25612,80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25041,60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25042,00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25042,00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25042,00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26812,40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29046,90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30983,10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31000,00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31000,00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31000,00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в том числе:</w:t>
            </w:r>
            <w:r w:rsidRPr="00B459C0">
              <w:rPr>
                <w:sz w:val="20"/>
                <w:szCs w:val="20"/>
              </w:rPr>
              <w:br/>
              <w:t>учителей 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31144,00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32237,62</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34411,30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34500,00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34500,00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34500,00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муниципальных учреждений культуры и искусства</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24602,50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26165,20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28997,20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28000,00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28000,00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28000,00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муниципальных учреждений физической культуры и спорта</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18681,90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18816,70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22241,60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23131,30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24056,50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25018,80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II. Дошкольное образование</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9</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Доля детей в возрасте 1 - 6 лет, получающих дошкольную </w:t>
            </w:r>
            <w:r w:rsidRPr="00B459C0">
              <w:rPr>
                <w:sz w:val="20"/>
                <w:szCs w:val="20"/>
              </w:rPr>
              <w:lastRenderedPageBreak/>
              <w:t>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lastRenderedPageBreak/>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93,50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87,20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lastRenderedPageBreak/>
              <w:t>10</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детей в возрасте от одного года до шести лет, 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11</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III. Общее и дополнительное образование</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12</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13</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14</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15</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детей первой и второй групп здоровья в общей численности обучающихся в муниципальных общеобразовательных учреждениях</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87,10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16</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7,40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7,40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17</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тыс.руб</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11,40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18</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91,20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88,00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86,60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86,60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86,60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86,60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IV. Культура</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19</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Уровень фактической обеспеченности учреждениями культуры от нормативной потребности:</w:t>
            </w:r>
            <w:r w:rsidRPr="00B459C0">
              <w:rPr>
                <w:sz w:val="20"/>
                <w:szCs w:val="20"/>
              </w:rPr>
              <w:br/>
              <w:t>клубами и учреждениями клубного типа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79,60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81,10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библиотеками</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127,20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125,40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123,60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123,60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123,60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123,60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lastRenderedPageBreak/>
              <w:t> </w:t>
            </w:r>
          </w:p>
        </w:tc>
        <w:tc>
          <w:tcPr>
            <w:tcW w:w="6572"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парками культуры и отдыха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20</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21</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V. Физическая культура и спорт</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22</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населения, систематически занимающегося физической культурой и спортом</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37,69</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40,60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46,70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48,70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51,60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23</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обучающихся, систематически занимающихся физической культурой и спортом, в общей численности обучающихся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81,16</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VI. Жилищное строительство и обеспечение граждан жильем</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24</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Общая площадь жилых помещений, приходящаяся в среднем на одного жителя - всего</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кв. метров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26,50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26,40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в том числе введенная в действие за один год</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кв. метров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0,14</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0,17</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0,18</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0,14</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0,14</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0,14</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25</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Площадь земельных участков, предоставленных для строительства, в расчете на 10 тыс. 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гектаров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1,85</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в том числе для жилищного строительства, индивидуального строительства и комплексного освоения в целях жилищного строительства</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гектаров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0,65</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1,01</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0,80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26</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B459C0">
              <w:rPr>
                <w:sz w:val="20"/>
                <w:szCs w:val="20"/>
              </w:rPr>
              <w:br/>
              <w:t>объектов жилищного строительства - в течение 3 лет</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кв. метров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иных объектов капитального строительства - в течение 5 лет</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кв. метров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VII. Жилищно-коммунальное хозяйство</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27</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28</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w:t>
            </w:r>
            <w:r w:rsidRPr="00B459C0">
              <w:rPr>
                <w:sz w:val="20"/>
                <w:szCs w:val="20"/>
              </w:rPr>
              <w:lastRenderedPageBreak/>
              <w:t>(захоронению)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lastRenderedPageBreak/>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lastRenderedPageBreak/>
              <w:t>29</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701"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30</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2,60</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VIII. Организация муниципального управления</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31</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66,10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40,20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47,90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46,50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45,70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32</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33</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Объем не завершенного в установленные сроки строительства, осуществляемого за счет средств бюджета городского округа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тыс.рублей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22397,80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14283,20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13251,70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11138,90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11138,90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11138,90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34</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14,10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2,55</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8,31</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35</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рублей</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955,80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1303,20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1244,90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1375,50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1279,60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1326,90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36</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1-да/0-нет</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37</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Удовлетворенность населения деятельностью органов местного самоуправления городского округа (муниципального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процентов</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89,30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59,70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38</w:t>
            </w:r>
          </w:p>
        </w:tc>
        <w:tc>
          <w:tcPr>
            <w:tcW w:w="6572"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Среднегодовая численность постоянного населения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тыс. человек</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60,66</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59,98</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59,21</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58,64</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58,41</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58,23</w:t>
            </w:r>
          </w:p>
        </w:tc>
      </w:tr>
      <w:tr w:rsidR="00B459C0" w:rsidRPr="00B459C0" w:rsidTr="00B459C0">
        <w:trPr>
          <w:trHeight w:val="20"/>
        </w:trPr>
        <w:tc>
          <w:tcPr>
            <w:tcW w:w="152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b/>
                <w:bCs/>
                <w:sz w:val="20"/>
                <w:szCs w:val="20"/>
              </w:rPr>
            </w:pPr>
            <w:r w:rsidRPr="00B459C0">
              <w:rPr>
                <w:b/>
                <w:bCs/>
                <w:sz w:val="20"/>
                <w:szCs w:val="20"/>
              </w:rPr>
              <w:t>IX. Энергосбережение и повышение энергетической эффективности</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39</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Удельная величина потребления энергетических ресурсов в многоквартирных домах (из расчета на 1 кв. метр общей площади и (или) </w:t>
            </w:r>
            <w:r w:rsidRPr="00B459C0">
              <w:rPr>
                <w:sz w:val="20"/>
                <w:szCs w:val="20"/>
              </w:rPr>
              <w:lastRenderedPageBreak/>
              <w:t xml:space="preserve">на одного человека): </w:t>
            </w:r>
            <w:r w:rsidRPr="00B459C0">
              <w:rPr>
                <w:sz w:val="20"/>
                <w:szCs w:val="20"/>
              </w:rPr>
              <w:br/>
              <w:t>электрическая энергия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lastRenderedPageBreak/>
              <w:t>кВт/ч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659,26</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391,40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420,00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415,00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413,50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412,50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lastRenderedPageBreak/>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тепловая энергия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Гкал на 1 кв. метр общей площади</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0,22</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горячая вода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16,24</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16,80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17,10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17,70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17,70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17,70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холодная вода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35,69</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33,60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37,70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природный газ</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40</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Удельная величина потребления энергетических ресурсов муниципальными бюджетными учреждениями (из расчета на 1 кв. метр общей площади и (или) на одного человека):</w:t>
            </w:r>
            <w:r w:rsidRPr="00B459C0">
              <w:rPr>
                <w:sz w:val="20"/>
                <w:szCs w:val="20"/>
              </w:rPr>
              <w:br/>
              <w:t>электрическая энергия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кВт/ч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50,42</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45,90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38,40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37,80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37,00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36,50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тепловая энергия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Гкал на 1 кв. метр общей площади</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0,17</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0,20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горячая вода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0,70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0,65</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0,70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холодная вода</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1,66</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1,50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1,60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природный газ</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куб. метров на 1 проживающего</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41</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 </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в сфере культуры </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балл</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82,00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в сфере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балл</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73,70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в сфере охраны здоровья</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балл</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r w:rsidR="00B459C0" w:rsidRPr="00B459C0" w:rsidTr="00B459C0">
        <w:trPr>
          <w:trHeight w:val="2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B459C0" w:rsidRPr="00B459C0" w:rsidRDefault="00B459C0" w:rsidP="00B459C0">
            <w:pPr>
              <w:jc w:val="center"/>
              <w:rPr>
                <w:sz w:val="20"/>
                <w:szCs w:val="20"/>
              </w:rPr>
            </w:pPr>
            <w:r w:rsidRPr="00B459C0">
              <w:rPr>
                <w:sz w:val="20"/>
                <w:szCs w:val="20"/>
              </w:rPr>
              <w:t> </w:t>
            </w:r>
          </w:p>
        </w:tc>
        <w:tc>
          <w:tcPr>
            <w:tcW w:w="6572"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rPr>
                <w:sz w:val="20"/>
                <w:szCs w:val="20"/>
              </w:rPr>
            </w:pPr>
            <w:r w:rsidRPr="00B459C0">
              <w:rPr>
                <w:sz w:val="20"/>
                <w:szCs w:val="20"/>
              </w:rPr>
              <w:t xml:space="preserve">в сфере социального обслуживания </w:t>
            </w:r>
          </w:p>
        </w:tc>
        <w:tc>
          <w:tcPr>
            <w:tcW w:w="1701" w:type="dxa"/>
            <w:tcBorders>
              <w:top w:val="nil"/>
              <w:left w:val="nil"/>
              <w:bottom w:val="single" w:sz="4" w:space="0" w:color="auto"/>
              <w:right w:val="single" w:sz="4" w:space="0" w:color="auto"/>
            </w:tcBorders>
            <w:shd w:val="clear" w:color="auto" w:fill="auto"/>
            <w:vAlign w:val="center"/>
            <w:hideMark/>
          </w:tcPr>
          <w:p w:rsidR="00B459C0" w:rsidRPr="00B459C0" w:rsidRDefault="00B459C0" w:rsidP="00B459C0">
            <w:pPr>
              <w:jc w:val="center"/>
              <w:rPr>
                <w:sz w:val="20"/>
                <w:szCs w:val="20"/>
              </w:rPr>
            </w:pPr>
            <w:r w:rsidRPr="00B459C0">
              <w:rPr>
                <w:sz w:val="20"/>
                <w:szCs w:val="20"/>
              </w:rPr>
              <w:t>балл</w:t>
            </w:r>
          </w:p>
        </w:tc>
        <w:tc>
          <w:tcPr>
            <w:tcW w:w="1025"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c>
          <w:tcPr>
            <w:tcW w:w="1066" w:type="dxa"/>
            <w:tcBorders>
              <w:top w:val="nil"/>
              <w:left w:val="nil"/>
              <w:bottom w:val="single" w:sz="4" w:space="0" w:color="auto"/>
              <w:right w:val="single" w:sz="4" w:space="0" w:color="auto"/>
            </w:tcBorders>
            <w:shd w:val="clear" w:color="auto" w:fill="auto"/>
            <w:noWrap/>
            <w:vAlign w:val="center"/>
            <w:hideMark/>
          </w:tcPr>
          <w:p w:rsidR="00B459C0" w:rsidRPr="00B459C0" w:rsidRDefault="00B459C0" w:rsidP="00B459C0">
            <w:pPr>
              <w:jc w:val="right"/>
              <w:rPr>
                <w:sz w:val="20"/>
                <w:szCs w:val="20"/>
              </w:rPr>
            </w:pPr>
            <w:r w:rsidRPr="00B459C0">
              <w:rPr>
                <w:sz w:val="20"/>
                <w:szCs w:val="20"/>
              </w:rPr>
              <w:t>0,00</w:t>
            </w:r>
          </w:p>
        </w:tc>
      </w:tr>
    </w:tbl>
    <w:p w:rsidR="00B459C0" w:rsidRPr="00B84CBC" w:rsidRDefault="00B459C0" w:rsidP="00B66BDD">
      <w:pPr>
        <w:keepNext/>
        <w:suppressLineNumbers/>
        <w:suppressAutoHyphens/>
        <w:contextualSpacing/>
        <w:jc w:val="center"/>
        <w:rPr>
          <w:b/>
          <w:i/>
          <w:sz w:val="26"/>
          <w:szCs w:val="26"/>
        </w:rPr>
        <w:sectPr w:rsidR="00B459C0" w:rsidRPr="00B84CBC" w:rsidSect="00B459C0">
          <w:pgSz w:w="16838" w:h="11906" w:orient="landscape" w:code="9"/>
          <w:pgMar w:top="1135" w:right="851" w:bottom="851" w:left="851" w:header="284" w:footer="0" w:gutter="0"/>
          <w:cols w:space="708"/>
          <w:docGrid w:linePitch="360"/>
        </w:sectPr>
      </w:pPr>
    </w:p>
    <w:p w:rsidR="00EB469D" w:rsidRPr="00B84CBC" w:rsidRDefault="00EB469D" w:rsidP="00B66BDD">
      <w:pPr>
        <w:keepNext/>
        <w:suppressLineNumbers/>
        <w:suppressAutoHyphens/>
        <w:contextualSpacing/>
        <w:jc w:val="center"/>
        <w:rPr>
          <w:b/>
          <w:i/>
          <w:sz w:val="26"/>
          <w:szCs w:val="26"/>
        </w:rPr>
      </w:pPr>
      <w:r w:rsidRPr="00B84CBC">
        <w:rPr>
          <w:b/>
          <w:i/>
          <w:sz w:val="26"/>
          <w:szCs w:val="26"/>
        </w:rPr>
        <w:lastRenderedPageBreak/>
        <w:t xml:space="preserve">II. Текстовая часть </w:t>
      </w:r>
    </w:p>
    <w:p w:rsidR="006039EB" w:rsidRPr="00B84CBC" w:rsidRDefault="006039EB" w:rsidP="00B66BDD">
      <w:pPr>
        <w:keepNext/>
        <w:suppressLineNumbers/>
        <w:suppressAutoHyphens/>
        <w:contextualSpacing/>
        <w:rPr>
          <w:b/>
          <w:sz w:val="10"/>
          <w:szCs w:val="10"/>
        </w:rPr>
      </w:pPr>
    </w:p>
    <w:p w:rsidR="00182854" w:rsidRPr="00B84CBC" w:rsidRDefault="00182854" w:rsidP="00B66BDD">
      <w:pPr>
        <w:keepNext/>
        <w:suppressLineNumbers/>
        <w:suppressAutoHyphens/>
        <w:contextualSpacing/>
        <w:jc w:val="both"/>
        <w:rPr>
          <w:i/>
          <w:iCs/>
        </w:rPr>
      </w:pPr>
      <w:r w:rsidRPr="00B84CBC">
        <w:rPr>
          <w:b/>
          <w:bCs/>
        </w:rPr>
        <w:t>Показатель №1</w:t>
      </w:r>
      <w:r w:rsidRPr="00B84CBC">
        <w:t xml:space="preserve"> </w:t>
      </w:r>
      <w:r w:rsidRPr="00B84CBC">
        <w:rPr>
          <w:i/>
          <w:iCs/>
        </w:rPr>
        <w:t>«Число субъектов малого и среднего предпринимательства в расчете на 10 тыс. человек населения»</w:t>
      </w:r>
    </w:p>
    <w:p w:rsidR="00217A96" w:rsidRPr="00B84CBC" w:rsidRDefault="00217A96"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В методических рекомендациях указано, что данный показатель рассчитывается на основании  результатов «Сплошного федерального статистического  наблюдения за деятельностью субъектов малого и среднего предпринимательства» (далее – Сплошное статнаблюдение) один раз в 5 лет. Последний раз оно проводилось в 2015 году и значение составило 317,6 ед. на 10 тыс. человек населения.</w:t>
      </w:r>
    </w:p>
    <w:p w:rsidR="00217A96" w:rsidRPr="00B84CBC" w:rsidRDefault="00217A96"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По сведениям из Единого реестра малого и среднего предпринимательства Федеральной налоговой службы РФ на территории муниципального образования город Саяногорск (далее – МО г.Саяногорск) число субъектов малого и среднего предпринимательства (малые, микро, средние предприятия и индивидуальные предприниматели) составило в 2015 году – 2 379 ед., в 2016 году – 2 319 ед., в 2017 году – 2 233 ед., в 2018 году – 2 127 ед., в 2019 году – 2 104 ед. Исходя из сложившейся динамики и с учетом многофакторного влияния на регистрацию (открытие новых) или прекращение деятельности юридических лиц </w:t>
      </w:r>
      <w:r w:rsidRPr="00B84CBC">
        <w:rPr>
          <w:color w:val="000000"/>
          <w:shd w:val="clear" w:color="auto" w:fill="FFFFFF"/>
        </w:rPr>
        <w:t xml:space="preserve">индивидуальных предпринимателей, </w:t>
      </w:r>
      <w:r w:rsidRPr="00B84CBC">
        <w:rPr>
          <w:color w:val="000000"/>
        </w:rPr>
        <w:t xml:space="preserve">число субъектов МСП запланировано на 2020-2022 годы соответственно </w:t>
      </w:r>
      <w:r w:rsidR="00B66BDD" w:rsidRPr="00B84CBC">
        <w:rPr>
          <w:color w:val="000000"/>
        </w:rPr>
        <w:t xml:space="preserve">    </w:t>
      </w:r>
      <w:r w:rsidRPr="00B84CBC">
        <w:rPr>
          <w:color w:val="000000"/>
        </w:rPr>
        <w:t xml:space="preserve">2 111 ед., 2 111 ед., 2 112 ед. </w:t>
      </w:r>
    </w:p>
    <w:p w:rsidR="00217A96" w:rsidRPr="00B84CBC" w:rsidRDefault="00217A96"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Демографическая динамика населения МО г.Саяногорск за 2015-2019 гг. фактически сложившаяся (по сведениям Красноярскстата), на 2020-2022 гг. плановые величины.</w:t>
      </w:r>
    </w:p>
    <w:p w:rsidR="00217A96" w:rsidRPr="00B84CBC" w:rsidRDefault="00217A96"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Значения показателя представлены по годам в таблице: </w:t>
      </w:r>
    </w:p>
    <w:tbl>
      <w:tblPr>
        <w:tblW w:w="9799" w:type="dxa"/>
        <w:tblInd w:w="10" w:type="dxa"/>
        <w:tblLayout w:type="fixed"/>
        <w:tblCellMar>
          <w:left w:w="0" w:type="dxa"/>
          <w:right w:w="0" w:type="dxa"/>
        </w:tblCellMar>
        <w:tblLook w:val="04A0"/>
      </w:tblPr>
      <w:tblGrid>
        <w:gridCol w:w="284"/>
        <w:gridCol w:w="2977"/>
        <w:gridCol w:w="992"/>
        <w:gridCol w:w="1276"/>
        <w:gridCol w:w="709"/>
        <w:gridCol w:w="769"/>
        <w:gridCol w:w="666"/>
        <w:gridCol w:w="709"/>
        <w:gridCol w:w="708"/>
        <w:gridCol w:w="709"/>
      </w:tblGrid>
      <w:tr w:rsidR="00217A96" w:rsidRPr="00B84CBC" w:rsidTr="00B84CBC">
        <w:trPr>
          <w:trHeight w:val="227"/>
        </w:trPr>
        <w:tc>
          <w:tcPr>
            <w:tcW w:w="284" w:type="dxa"/>
            <w:tcBorders>
              <w:top w:val="single" w:sz="8" w:space="0" w:color="auto"/>
              <w:left w:val="single" w:sz="8" w:space="0" w:color="auto"/>
              <w:bottom w:val="single" w:sz="8" w:space="0" w:color="auto"/>
              <w:right w:val="single" w:sz="8" w:space="0" w:color="auto"/>
            </w:tcBorders>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 пп</w:t>
            </w:r>
          </w:p>
        </w:tc>
        <w:tc>
          <w:tcPr>
            <w:tcW w:w="29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Наименование</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Ед. изм.</w:t>
            </w:r>
          </w:p>
        </w:tc>
        <w:tc>
          <w:tcPr>
            <w:tcW w:w="1276"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Сплошное наблюдение 2015г.</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2017г.</w:t>
            </w:r>
          </w:p>
        </w:tc>
        <w:tc>
          <w:tcPr>
            <w:tcW w:w="7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2018г.</w:t>
            </w:r>
          </w:p>
        </w:tc>
        <w:tc>
          <w:tcPr>
            <w:tcW w:w="666"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84CBC">
            <w:pPr>
              <w:keepNext/>
              <w:suppressLineNumbers/>
              <w:suppressAutoHyphens/>
              <w:contextualSpacing/>
              <w:jc w:val="center"/>
              <w:rPr>
                <w:iCs/>
                <w:color w:val="000000"/>
                <w:sz w:val="18"/>
                <w:szCs w:val="18"/>
              </w:rPr>
            </w:pPr>
            <w:r w:rsidRPr="00B84CBC">
              <w:rPr>
                <w:iCs/>
                <w:color w:val="000000"/>
                <w:sz w:val="18"/>
                <w:szCs w:val="18"/>
              </w:rPr>
              <w:t>2019г</w:t>
            </w:r>
          </w:p>
        </w:tc>
        <w:tc>
          <w:tcPr>
            <w:tcW w:w="70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2020г.</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2021г.</w:t>
            </w:r>
          </w:p>
        </w:tc>
        <w:tc>
          <w:tcPr>
            <w:tcW w:w="709" w:type="dxa"/>
            <w:tcBorders>
              <w:top w:val="single" w:sz="8" w:space="0" w:color="auto"/>
              <w:left w:val="nil"/>
              <w:bottom w:val="single" w:sz="8" w:space="0" w:color="auto"/>
              <w:right w:val="single" w:sz="8" w:space="0" w:color="auto"/>
            </w:tcBorders>
            <w:vAlign w:val="center"/>
          </w:tcPr>
          <w:p w:rsidR="00217A96" w:rsidRPr="00B84CBC" w:rsidRDefault="00217A96" w:rsidP="00B66BDD">
            <w:pPr>
              <w:keepNext/>
              <w:suppressLineNumbers/>
              <w:suppressAutoHyphens/>
              <w:contextualSpacing/>
              <w:jc w:val="center"/>
              <w:rPr>
                <w:iCs/>
                <w:color w:val="000000"/>
                <w:sz w:val="18"/>
                <w:szCs w:val="18"/>
              </w:rPr>
            </w:pPr>
            <w:r w:rsidRPr="00B84CBC">
              <w:rPr>
                <w:iCs/>
                <w:color w:val="000000"/>
                <w:sz w:val="18"/>
                <w:szCs w:val="18"/>
              </w:rPr>
              <w:t>2022г.</w:t>
            </w:r>
          </w:p>
        </w:tc>
      </w:tr>
      <w:tr w:rsidR="00217A96" w:rsidRPr="00B84CBC" w:rsidTr="00B84CBC">
        <w:trPr>
          <w:trHeight w:val="536"/>
        </w:trPr>
        <w:tc>
          <w:tcPr>
            <w:tcW w:w="284" w:type="dxa"/>
            <w:tcBorders>
              <w:top w:val="nil"/>
              <w:left w:val="single" w:sz="8" w:space="0" w:color="auto"/>
              <w:bottom w:val="single" w:sz="8" w:space="0" w:color="auto"/>
              <w:right w:val="single" w:sz="8" w:space="0" w:color="auto"/>
            </w:tcBorders>
            <w:vAlign w:val="center"/>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1.</w:t>
            </w:r>
          </w:p>
        </w:tc>
        <w:tc>
          <w:tcPr>
            <w:tcW w:w="29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rPr>
                <w:bCs/>
                <w:color w:val="000000"/>
                <w:sz w:val="20"/>
                <w:szCs w:val="20"/>
              </w:rPr>
            </w:pPr>
            <w:r w:rsidRPr="00B84CBC">
              <w:rPr>
                <w:bCs/>
                <w:color w:val="000000"/>
                <w:sz w:val="20"/>
                <w:szCs w:val="20"/>
              </w:rPr>
              <w:t>Число субъектов малого и среднего предпринимательства</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bCs/>
                <w:color w:val="000000"/>
                <w:sz w:val="16"/>
                <w:szCs w:val="16"/>
              </w:rPr>
            </w:pPr>
            <w:r w:rsidRPr="00B84CBC">
              <w:rPr>
                <w:bCs/>
                <w:color w:val="000000"/>
                <w:sz w:val="16"/>
                <w:szCs w:val="16"/>
              </w:rPr>
              <w:t>единиц</w:t>
            </w:r>
          </w:p>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16"/>
                <w:szCs w:val="16"/>
              </w:rPr>
              <w:t>на 10 тыс. человек населения</w:t>
            </w:r>
          </w:p>
        </w:tc>
        <w:tc>
          <w:tcPr>
            <w:tcW w:w="1276" w:type="dxa"/>
            <w:tcBorders>
              <w:top w:val="nil"/>
              <w:left w:val="nil"/>
              <w:bottom w:val="single" w:sz="8" w:space="0" w:color="auto"/>
              <w:right w:val="single" w:sz="4" w:space="0" w:color="auto"/>
            </w:tcBorders>
            <w:noWrap/>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317,6</w:t>
            </w:r>
          </w:p>
        </w:tc>
        <w:tc>
          <w:tcPr>
            <w:tcW w:w="70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217A96" w:rsidRPr="00B84CBC" w:rsidRDefault="00E06AC0" w:rsidP="00B66BDD">
            <w:pPr>
              <w:keepNext/>
              <w:suppressLineNumbers/>
              <w:suppressAutoHyphens/>
              <w:contextualSpacing/>
              <w:jc w:val="center"/>
              <w:rPr>
                <w:bCs/>
                <w:color w:val="000000"/>
                <w:sz w:val="20"/>
                <w:szCs w:val="20"/>
              </w:rPr>
            </w:pPr>
            <w:r w:rsidRPr="00B84CBC">
              <w:rPr>
                <w:bCs/>
                <w:color w:val="000000"/>
                <w:sz w:val="20"/>
                <w:szCs w:val="20"/>
              </w:rPr>
              <w:t>366,0</w:t>
            </w:r>
          </w:p>
        </w:tc>
        <w:tc>
          <w:tcPr>
            <w:tcW w:w="7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17A96" w:rsidRPr="00B84CBC" w:rsidRDefault="00E06AC0" w:rsidP="00B66BDD">
            <w:pPr>
              <w:keepNext/>
              <w:suppressLineNumbers/>
              <w:suppressAutoHyphens/>
              <w:contextualSpacing/>
              <w:jc w:val="center"/>
              <w:rPr>
                <w:bCs/>
                <w:color w:val="000000"/>
                <w:sz w:val="20"/>
                <w:szCs w:val="20"/>
              </w:rPr>
            </w:pPr>
            <w:r w:rsidRPr="00B84CBC">
              <w:rPr>
                <w:bCs/>
                <w:color w:val="000000"/>
                <w:sz w:val="20"/>
                <w:szCs w:val="20"/>
              </w:rPr>
              <w:t>352,6</w:t>
            </w:r>
          </w:p>
        </w:tc>
        <w:tc>
          <w:tcPr>
            <w:tcW w:w="666" w:type="dxa"/>
            <w:tcBorders>
              <w:top w:val="nil"/>
              <w:left w:val="single" w:sz="4" w:space="0" w:color="auto"/>
              <w:bottom w:val="single" w:sz="8" w:space="0" w:color="auto"/>
              <w:right w:val="single" w:sz="8" w:space="0" w:color="auto"/>
            </w:tcBorders>
            <w:noWrap/>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352,8</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359,2</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360,8</w:t>
            </w:r>
          </w:p>
        </w:tc>
        <w:tc>
          <w:tcPr>
            <w:tcW w:w="709" w:type="dxa"/>
            <w:tcBorders>
              <w:top w:val="nil"/>
              <w:left w:val="nil"/>
              <w:bottom w:val="single" w:sz="8" w:space="0" w:color="auto"/>
              <w:right w:val="single" w:sz="8" w:space="0" w:color="auto"/>
            </w:tcBorders>
            <w:vAlign w:val="center"/>
          </w:tcPr>
          <w:p w:rsidR="00217A96" w:rsidRPr="00B84CBC" w:rsidRDefault="00217A96" w:rsidP="00B66BDD">
            <w:pPr>
              <w:keepNext/>
              <w:suppressLineNumbers/>
              <w:suppressAutoHyphens/>
              <w:contextualSpacing/>
              <w:jc w:val="center"/>
              <w:rPr>
                <w:bCs/>
                <w:color w:val="000000"/>
                <w:sz w:val="20"/>
                <w:szCs w:val="20"/>
              </w:rPr>
            </w:pPr>
            <w:r w:rsidRPr="00B84CBC">
              <w:rPr>
                <w:bCs/>
                <w:color w:val="000000"/>
                <w:sz w:val="20"/>
                <w:szCs w:val="20"/>
              </w:rPr>
              <w:t>362,2</w:t>
            </w:r>
          </w:p>
        </w:tc>
      </w:tr>
    </w:tbl>
    <w:p w:rsidR="00217A96" w:rsidRPr="00B84CBC" w:rsidRDefault="00217A96" w:rsidP="00B66BDD">
      <w:pPr>
        <w:pStyle w:val="a9"/>
        <w:keepNext/>
        <w:suppressLineNumbers/>
        <w:shd w:val="clear" w:color="auto" w:fill="FFFFFF"/>
        <w:suppressAutoHyphens/>
        <w:spacing w:before="0" w:beforeAutospacing="0" w:after="0" w:afterAutospacing="0"/>
        <w:ind w:firstLine="708"/>
        <w:contextualSpacing/>
        <w:jc w:val="both"/>
        <w:rPr>
          <w:color w:val="000000"/>
          <w:shd w:val="clear" w:color="auto" w:fill="FFFFFF"/>
        </w:rPr>
      </w:pPr>
      <w:r w:rsidRPr="00B84CBC">
        <w:rPr>
          <w:color w:val="000000"/>
        </w:rPr>
        <w:t>За 2019 год значение показателя составило 352,8 единиц на 10 тыс. населения и увеличилось на 0,2 ед. или на 0,04% в сравнении с прошлым годом. Динамика</w:t>
      </w:r>
      <w:r w:rsidRPr="00B84CBC">
        <w:rPr>
          <w:color w:val="000000"/>
          <w:shd w:val="clear" w:color="auto" w:fill="FFFFFF"/>
        </w:rPr>
        <w:t xml:space="preserve"> обусловлена влиянием многофакторных причин на осуществление деятельности малого и среднего </w:t>
      </w:r>
      <w:r w:rsidRPr="00B84CBC">
        <w:rPr>
          <w:color w:val="000000"/>
        </w:rPr>
        <w:t xml:space="preserve">предпринимательства </w:t>
      </w:r>
      <w:r w:rsidRPr="00B84CBC">
        <w:rPr>
          <w:color w:val="000000"/>
          <w:shd w:val="clear" w:color="auto" w:fill="FFFFFF"/>
        </w:rPr>
        <w:t xml:space="preserve">(в </w:t>
      </w:r>
      <w:r w:rsidRPr="00B84CBC">
        <w:rPr>
          <w:color w:val="000000"/>
        </w:rPr>
        <w:t xml:space="preserve">2019 </w:t>
      </w:r>
      <w:r w:rsidRPr="00B84CBC">
        <w:rPr>
          <w:color w:val="000000"/>
          <w:shd w:val="clear" w:color="auto" w:fill="FFFFFF"/>
        </w:rPr>
        <w:t xml:space="preserve">году число субъектов МСП в МО г.Саяногорск снизилось на -5 юридических лиц и на </w:t>
      </w:r>
      <w:r w:rsidR="00B66BDD" w:rsidRPr="00B84CBC">
        <w:rPr>
          <w:color w:val="000000"/>
          <w:shd w:val="clear" w:color="auto" w:fill="FFFFFF"/>
        </w:rPr>
        <w:t>-</w:t>
      </w:r>
      <w:r w:rsidRPr="00B84CBC">
        <w:rPr>
          <w:color w:val="000000"/>
          <w:shd w:val="clear" w:color="auto" w:fill="FFFFFF"/>
        </w:rPr>
        <w:t>18 индивидуальных предпринимателей). </w:t>
      </w:r>
    </w:p>
    <w:p w:rsidR="00A461EC" w:rsidRPr="00B84CBC" w:rsidRDefault="00A461EC" w:rsidP="00B66BDD">
      <w:pPr>
        <w:pStyle w:val="a9"/>
        <w:keepNext/>
        <w:suppressLineNumbers/>
        <w:shd w:val="clear" w:color="auto" w:fill="FFFFFF"/>
        <w:suppressAutoHyphens/>
        <w:spacing w:before="0" w:beforeAutospacing="0" w:after="0" w:afterAutospacing="0"/>
        <w:ind w:firstLine="708"/>
        <w:contextualSpacing/>
        <w:jc w:val="both"/>
        <w:rPr>
          <w:sz w:val="10"/>
          <w:szCs w:val="10"/>
        </w:rPr>
      </w:pPr>
    </w:p>
    <w:p w:rsidR="00182854" w:rsidRPr="00B84CBC" w:rsidRDefault="00182854" w:rsidP="00B66BDD">
      <w:pPr>
        <w:keepNext/>
        <w:suppressLineNumbers/>
        <w:suppressAutoHyphens/>
        <w:contextualSpacing/>
        <w:jc w:val="both"/>
        <w:rPr>
          <w:i/>
          <w:iCs/>
        </w:rPr>
      </w:pPr>
      <w:r w:rsidRPr="00B84CBC">
        <w:rPr>
          <w:b/>
          <w:bCs/>
        </w:rPr>
        <w:t>Показатель №2</w:t>
      </w:r>
      <w:r w:rsidRPr="00B84CBC">
        <w:t xml:space="preserve"> </w:t>
      </w:r>
      <w:r w:rsidRPr="00B84CBC">
        <w:rPr>
          <w:i/>
          <w:iC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23500D" w:rsidRPr="00B84CBC" w:rsidRDefault="0023500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В методических рекомендациях указано, что данный показатель рассчитывается на основании  результатов Сплошного статнаблюдения МСП (один раз в 5 лет). Последний раз оно проводилось в 2015 году и значение составило 16,1%.</w:t>
      </w:r>
    </w:p>
    <w:p w:rsidR="0023500D" w:rsidRPr="00B84CBC" w:rsidRDefault="0023500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По оценочным данным численность работающих на малых, микро и средних предприятиях МО г.Саяногорск  в 2015 году – 2 855 чел., в 2016 году – 3 272 чел., в 2017 году – 3 394 чел., в 2018 году – 3 397 чел., в 2019 году – 3 548 чел. Исходя из сложившейся динамики и с учетом многофакторного влияния на деятельность субъектов МСП, запланирована на 2020-2022 годы численность работающих в МСП соответственно 3 655 чел., 3 660 чел., 3 669 чел. </w:t>
      </w:r>
    </w:p>
    <w:p w:rsidR="0023500D" w:rsidRPr="00B84CBC" w:rsidRDefault="0023500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Общая численность работников всех предприятий и организаций МО г.Саяногорск за 2017-2019 годы фактически сложившаяся (по сведениям Красноярскстата), на 2020-2022 гг. плановые величины.</w:t>
      </w:r>
    </w:p>
    <w:p w:rsidR="0023500D" w:rsidRPr="00B84CBC" w:rsidRDefault="0023500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Значения показателя представлены по годам в таблице: </w:t>
      </w:r>
    </w:p>
    <w:tbl>
      <w:tblPr>
        <w:tblW w:w="98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2"/>
        <w:gridCol w:w="3607"/>
        <w:gridCol w:w="678"/>
        <w:gridCol w:w="1104"/>
        <w:gridCol w:w="689"/>
        <w:gridCol w:w="689"/>
        <w:gridCol w:w="680"/>
        <w:gridCol w:w="680"/>
        <w:gridCol w:w="680"/>
        <w:gridCol w:w="680"/>
      </w:tblGrid>
      <w:tr w:rsidR="00EA7069" w:rsidRPr="00B84CBC" w:rsidTr="00B84CBC">
        <w:trPr>
          <w:trHeight w:val="20"/>
        </w:trPr>
        <w:tc>
          <w:tcPr>
            <w:tcW w:w="362" w:type="dxa"/>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 пп</w:t>
            </w:r>
          </w:p>
        </w:tc>
        <w:tc>
          <w:tcPr>
            <w:tcW w:w="3607" w:type="dxa"/>
            <w:tcMar>
              <w:top w:w="0" w:type="dxa"/>
              <w:left w:w="108" w:type="dxa"/>
              <w:bottom w:w="0" w:type="dxa"/>
              <w:right w:w="108" w:type="dxa"/>
            </w:tcMar>
            <w:vAlign w:val="center"/>
            <w:hideMark/>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Наименование</w:t>
            </w:r>
          </w:p>
        </w:tc>
        <w:tc>
          <w:tcPr>
            <w:tcW w:w="678" w:type="dxa"/>
            <w:tcMar>
              <w:top w:w="0" w:type="dxa"/>
              <w:left w:w="108" w:type="dxa"/>
              <w:bottom w:w="0" w:type="dxa"/>
              <w:right w:w="108" w:type="dxa"/>
            </w:tcMar>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Ед. изм.</w:t>
            </w:r>
          </w:p>
        </w:tc>
        <w:tc>
          <w:tcPr>
            <w:tcW w:w="1104" w:type="dxa"/>
            <w:tcMar>
              <w:top w:w="0" w:type="dxa"/>
              <w:left w:w="108" w:type="dxa"/>
              <w:bottom w:w="0" w:type="dxa"/>
              <w:right w:w="108" w:type="dxa"/>
            </w:tcMar>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Сплошное наблюдение  2015г.</w:t>
            </w:r>
          </w:p>
        </w:tc>
        <w:tc>
          <w:tcPr>
            <w:tcW w:w="689" w:type="dxa"/>
            <w:tcMar>
              <w:top w:w="0" w:type="dxa"/>
              <w:left w:w="108" w:type="dxa"/>
              <w:bottom w:w="0" w:type="dxa"/>
              <w:right w:w="108" w:type="dxa"/>
            </w:tcMar>
            <w:vAlign w:val="center"/>
            <w:hideMark/>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2017</w:t>
            </w:r>
            <w:r w:rsidR="00B66BDD" w:rsidRPr="00B84CBC">
              <w:rPr>
                <w:iCs/>
                <w:color w:val="000000"/>
                <w:sz w:val="16"/>
                <w:szCs w:val="16"/>
              </w:rPr>
              <w:t>г.</w:t>
            </w:r>
            <w:r w:rsidRPr="00B84CBC">
              <w:rPr>
                <w:iCs/>
                <w:color w:val="000000"/>
                <w:sz w:val="16"/>
                <w:szCs w:val="16"/>
              </w:rPr>
              <w:t xml:space="preserve"> </w:t>
            </w:r>
          </w:p>
        </w:tc>
        <w:tc>
          <w:tcPr>
            <w:tcW w:w="689" w:type="dxa"/>
            <w:tcMar>
              <w:top w:w="0" w:type="dxa"/>
              <w:left w:w="108" w:type="dxa"/>
              <w:bottom w:w="0" w:type="dxa"/>
              <w:right w:w="108" w:type="dxa"/>
            </w:tcMar>
            <w:vAlign w:val="center"/>
            <w:hideMark/>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2018</w:t>
            </w:r>
            <w:r w:rsidR="00B66BDD" w:rsidRPr="00B84CBC">
              <w:rPr>
                <w:iCs/>
                <w:color w:val="000000"/>
                <w:sz w:val="16"/>
                <w:szCs w:val="16"/>
              </w:rPr>
              <w:t>г.</w:t>
            </w:r>
          </w:p>
        </w:tc>
        <w:tc>
          <w:tcPr>
            <w:tcW w:w="680" w:type="dxa"/>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 xml:space="preserve">2019г. </w:t>
            </w:r>
          </w:p>
        </w:tc>
        <w:tc>
          <w:tcPr>
            <w:tcW w:w="680" w:type="dxa"/>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 xml:space="preserve">2020г. </w:t>
            </w:r>
          </w:p>
        </w:tc>
        <w:tc>
          <w:tcPr>
            <w:tcW w:w="680" w:type="dxa"/>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 xml:space="preserve">2021г. </w:t>
            </w:r>
          </w:p>
        </w:tc>
        <w:tc>
          <w:tcPr>
            <w:tcW w:w="680" w:type="dxa"/>
            <w:vAlign w:val="center"/>
          </w:tcPr>
          <w:p w:rsidR="0023500D" w:rsidRPr="00B84CBC" w:rsidRDefault="0023500D" w:rsidP="00B66BDD">
            <w:pPr>
              <w:keepNext/>
              <w:suppressLineNumbers/>
              <w:suppressAutoHyphens/>
              <w:contextualSpacing/>
              <w:jc w:val="center"/>
              <w:rPr>
                <w:iCs/>
                <w:color w:val="000000"/>
                <w:sz w:val="16"/>
                <w:szCs w:val="16"/>
              </w:rPr>
            </w:pPr>
            <w:r w:rsidRPr="00B84CBC">
              <w:rPr>
                <w:iCs/>
                <w:color w:val="000000"/>
                <w:sz w:val="16"/>
                <w:szCs w:val="16"/>
              </w:rPr>
              <w:t>2022г.</w:t>
            </w:r>
          </w:p>
        </w:tc>
      </w:tr>
      <w:tr w:rsidR="00EA7069" w:rsidRPr="00B84CBC" w:rsidTr="00B84CBC">
        <w:trPr>
          <w:trHeight w:val="20"/>
        </w:trPr>
        <w:tc>
          <w:tcPr>
            <w:tcW w:w="362" w:type="dxa"/>
            <w:vAlign w:val="center"/>
          </w:tcPr>
          <w:p w:rsidR="0023500D" w:rsidRPr="00B84CBC" w:rsidRDefault="0023500D" w:rsidP="00B66BDD">
            <w:pPr>
              <w:keepNext/>
              <w:suppressLineNumbers/>
              <w:suppressAutoHyphens/>
              <w:contextualSpacing/>
              <w:jc w:val="center"/>
              <w:rPr>
                <w:bCs/>
                <w:color w:val="000000"/>
                <w:sz w:val="20"/>
                <w:szCs w:val="20"/>
              </w:rPr>
            </w:pPr>
            <w:r w:rsidRPr="00B84CBC">
              <w:rPr>
                <w:bCs/>
                <w:color w:val="000000"/>
                <w:sz w:val="20"/>
                <w:szCs w:val="20"/>
              </w:rPr>
              <w:t>2.</w:t>
            </w:r>
          </w:p>
        </w:tc>
        <w:tc>
          <w:tcPr>
            <w:tcW w:w="3607" w:type="dxa"/>
            <w:tcMar>
              <w:top w:w="0" w:type="dxa"/>
              <w:left w:w="108" w:type="dxa"/>
              <w:bottom w:w="0" w:type="dxa"/>
              <w:right w:w="108" w:type="dxa"/>
            </w:tcMar>
            <w:vAlign w:val="center"/>
            <w:hideMark/>
          </w:tcPr>
          <w:p w:rsidR="0023500D" w:rsidRPr="00B84CBC" w:rsidRDefault="0023500D" w:rsidP="00B66BDD">
            <w:pPr>
              <w:keepNext/>
              <w:suppressLineNumbers/>
              <w:suppressAutoHyphens/>
              <w:contextualSpacing/>
              <w:rPr>
                <w:bCs/>
                <w:color w:val="000000"/>
                <w:sz w:val="20"/>
                <w:szCs w:val="20"/>
              </w:rPr>
            </w:pPr>
            <w:r w:rsidRPr="00B84CBC">
              <w:rPr>
                <w:bCs/>
                <w:color w:val="000000"/>
                <w:sz w:val="20"/>
                <w:szCs w:val="2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678" w:type="dxa"/>
            <w:tcMar>
              <w:top w:w="0" w:type="dxa"/>
              <w:left w:w="108" w:type="dxa"/>
              <w:bottom w:w="0" w:type="dxa"/>
              <w:right w:w="108" w:type="dxa"/>
            </w:tcMar>
            <w:vAlign w:val="center"/>
          </w:tcPr>
          <w:p w:rsidR="0023500D" w:rsidRPr="00B84CBC" w:rsidRDefault="0023500D" w:rsidP="00B66BDD">
            <w:pPr>
              <w:keepNext/>
              <w:suppressLineNumbers/>
              <w:suppressAutoHyphens/>
              <w:contextualSpacing/>
              <w:jc w:val="center"/>
              <w:rPr>
                <w:bCs/>
                <w:color w:val="000000"/>
                <w:sz w:val="18"/>
                <w:szCs w:val="18"/>
              </w:rPr>
            </w:pPr>
            <w:r w:rsidRPr="00B84CBC">
              <w:rPr>
                <w:bCs/>
                <w:color w:val="000000"/>
                <w:sz w:val="18"/>
                <w:szCs w:val="18"/>
              </w:rPr>
              <w:t>проценты</w:t>
            </w:r>
          </w:p>
        </w:tc>
        <w:tc>
          <w:tcPr>
            <w:tcW w:w="1104" w:type="dxa"/>
            <w:tcMar>
              <w:top w:w="0" w:type="dxa"/>
              <w:left w:w="108" w:type="dxa"/>
              <w:bottom w:w="0" w:type="dxa"/>
              <w:right w:w="108" w:type="dxa"/>
            </w:tcMar>
            <w:vAlign w:val="center"/>
          </w:tcPr>
          <w:p w:rsidR="0023500D" w:rsidRPr="00B84CBC" w:rsidRDefault="0023500D" w:rsidP="00B66BDD">
            <w:pPr>
              <w:keepNext/>
              <w:suppressLineNumbers/>
              <w:suppressAutoHyphens/>
              <w:contextualSpacing/>
              <w:jc w:val="center"/>
              <w:rPr>
                <w:bCs/>
                <w:color w:val="000000"/>
                <w:sz w:val="20"/>
                <w:szCs w:val="20"/>
              </w:rPr>
            </w:pPr>
            <w:r w:rsidRPr="00B84CBC">
              <w:rPr>
                <w:bCs/>
                <w:color w:val="000000"/>
                <w:sz w:val="20"/>
                <w:szCs w:val="20"/>
              </w:rPr>
              <w:t>16,1</w:t>
            </w:r>
          </w:p>
        </w:tc>
        <w:tc>
          <w:tcPr>
            <w:tcW w:w="689" w:type="dxa"/>
            <w:noWrap/>
            <w:tcMar>
              <w:top w:w="0" w:type="dxa"/>
              <w:left w:w="108" w:type="dxa"/>
              <w:bottom w:w="0" w:type="dxa"/>
              <w:right w:w="108" w:type="dxa"/>
            </w:tcMar>
            <w:vAlign w:val="center"/>
            <w:hideMark/>
          </w:tcPr>
          <w:p w:rsidR="0023500D" w:rsidRPr="00B84CBC" w:rsidRDefault="0023500D" w:rsidP="00B66BDD">
            <w:pPr>
              <w:keepNext/>
              <w:suppressLineNumbers/>
              <w:suppressAutoHyphens/>
              <w:contextualSpacing/>
              <w:jc w:val="center"/>
              <w:rPr>
                <w:bCs/>
                <w:color w:val="000000"/>
                <w:sz w:val="20"/>
                <w:szCs w:val="20"/>
              </w:rPr>
            </w:pPr>
            <w:r w:rsidRPr="00B84CBC">
              <w:rPr>
                <w:bCs/>
                <w:color w:val="000000"/>
                <w:sz w:val="20"/>
                <w:szCs w:val="20"/>
              </w:rPr>
              <w:t>1</w:t>
            </w:r>
            <w:r w:rsidR="00E06AC0" w:rsidRPr="00B84CBC">
              <w:rPr>
                <w:bCs/>
                <w:color w:val="000000"/>
                <w:sz w:val="20"/>
                <w:szCs w:val="20"/>
              </w:rPr>
              <w:t>7,6</w:t>
            </w:r>
          </w:p>
        </w:tc>
        <w:tc>
          <w:tcPr>
            <w:tcW w:w="689" w:type="dxa"/>
            <w:noWrap/>
            <w:tcMar>
              <w:top w:w="0" w:type="dxa"/>
              <w:left w:w="108" w:type="dxa"/>
              <w:bottom w:w="0" w:type="dxa"/>
              <w:right w:w="108" w:type="dxa"/>
            </w:tcMar>
            <w:vAlign w:val="center"/>
            <w:hideMark/>
          </w:tcPr>
          <w:p w:rsidR="0023500D" w:rsidRPr="00B84CBC" w:rsidRDefault="00E06AC0" w:rsidP="00B66BDD">
            <w:pPr>
              <w:keepNext/>
              <w:suppressLineNumbers/>
              <w:suppressAutoHyphens/>
              <w:contextualSpacing/>
              <w:jc w:val="center"/>
              <w:rPr>
                <w:bCs/>
                <w:color w:val="000000"/>
                <w:sz w:val="20"/>
                <w:szCs w:val="20"/>
              </w:rPr>
            </w:pPr>
            <w:r w:rsidRPr="00B84CBC">
              <w:rPr>
                <w:bCs/>
                <w:color w:val="000000"/>
                <w:sz w:val="20"/>
                <w:szCs w:val="20"/>
              </w:rPr>
              <w:t>17,7</w:t>
            </w:r>
          </w:p>
        </w:tc>
        <w:tc>
          <w:tcPr>
            <w:tcW w:w="680" w:type="dxa"/>
            <w:vAlign w:val="center"/>
          </w:tcPr>
          <w:p w:rsidR="0023500D" w:rsidRPr="00B84CBC" w:rsidRDefault="0023500D" w:rsidP="00B66BDD">
            <w:pPr>
              <w:keepNext/>
              <w:suppressLineNumbers/>
              <w:suppressAutoHyphens/>
              <w:contextualSpacing/>
              <w:jc w:val="center"/>
              <w:rPr>
                <w:iCs/>
                <w:color w:val="000000"/>
                <w:sz w:val="20"/>
                <w:szCs w:val="20"/>
              </w:rPr>
            </w:pPr>
            <w:r w:rsidRPr="00B84CBC">
              <w:rPr>
                <w:iCs/>
                <w:color w:val="000000"/>
                <w:sz w:val="20"/>
                <w:szCs w:val="20"/>
              </w:rPr>
              <w:t>18,3</w:t>
            </w:r>
          </w:p>
        </w:tc>
        <w:tc>
          <w:tcPr>
            <w:tcW w:w="680" w:type="dxa"/>
            <w:vAlign w:val="center"/>
          </w:tcPr>
          <w:p w:rsidR="0023500D" w:rsidRPr="00B84CBC" w:rsidRDefault="0023500D" w:rsidP="00B66BDD">
            <w:pPr>
              <w:keepNext/>
              <w:suppressLineNumbers/>
              <w:suppressAutoHyphens/>
              <w:contextualSpacing/>
              <w:jc w:val="center"/>
              <w:rPr>
                <w:iCs/>
                <w:color w:val="000000"/>
                <w:sz w:val="20"/>
                <w:szCs w:val="20"/>
              </w:rPr>
            </w:pPr>
            <w:r w:rsidRPr="00B84CBC">
              <w:rPr>
                <w:iCs/>
                <w:color w:val="000000"/>
                <w:sz w:val="20"/>
                <w:szCs w:val="20"/>
              </w:rPr>
              <w:t>18,8</w:t>
            </w:r>
          </w:p>
        </w:tc>
        <w:tc>
          <w:tcPr>
            <w:tcW w:w="680" w:type="dxa"/>
            <w:vAlign w:val="center"/>
          </w:tcPr>
          <w:p w:rsidR="0023500D" w:rsidRPr="00B84CBC" w:rsidRDefault="0023500D" w:rsidP="00B66BDD">
            <w:pPr>
              <w:keepNext/>
              <w:suppressLineNumbers/>
              <w:suppressAutoHyphens/>
              <w:contextualSpacing/>
              <w:jc w:val="center"/>
              <w:rPr>
                <w:iCs/>
                <w:color w:val="000000"/>
                <w:sz w:val="20"/>
                <w:szCs w:val="20"/>
              </w:rPr>
            </w:pPr>
            <w:r w:rsidRPr="00B84CBC">
              <w:rPr>
                <w:iCs/>
                <w:color w:val="000000"/>
                <w:sz w:val="20"/>
                <w:szCs w:val="20"/>
              </w:rPr>
              <w:t>18,8</w:t>
            </w:r>
          </w:p>
        </w:tc>
        <w:tc>
          <w:tcPr>
            <w:tcW w:w="680" w:type="dxa"/>
            <w:vAlign w:val="center"/>
          </w:tcPr>
          <w:p w:rsidR="0023500D" w:rsidRPr="00B84CBC" w:rsidRDefault="0023500D" w:rsidP="00B66BDD">
            <w:pPr>
              <w:keepNext/>
              <w:suppressLineNumbers/>
              <w:suppressAutoHyphens/>
              <w:contextualSpacing/>
              <w:jc w:val="center"/>
              <w:rPr>
                <w:iCs/>
                <w:color w:val="000000"/>
                <w:sz w:val="20"/>
                <w:szCs w:val="20"/>
              </w:rPr>
            </w:pPr>
            <w:r w:rsidRPr="00B84CBC">
              <w:rPr>
                <w:iCs/>
                <w:color w:val="000000"/>
                <w:sz w:val="20"/>
                <w:szCs w:val="20"/>
              </w:rPr>
              <w:t>18,9</w:t>
            </w:r>
          </w:p>
        </w:tc>
      </w:tr>
    </w:tbl>
    <w:p w:rsidR="0023500D" w:rsidRPr="00B84CBC" w:rsidRDefault="0023500D" w:rsidP="00B66BDD">
      <w:pPr>
        <w:pStyle w:val="a9"/>
        <w:keepNext/>
        <w:suppressLineNumbers/>
        <w:shd w:val="clear" w:color="auto" w:fill="FFFFFF"/>
        <w:suppressAutoHyphens/>
        <w:spacing w:before="0" w:beforeAutospacing="0" w:after="0" w:afterAutospacing="0"/>
        <w:ind w:firstLine="708"/>
        <w:contextualSpacing/>
        <w:jc w:val="both"/>
        <w:rPr>
          <w:b/>
          <w:color w:val="000000"/>
        </w:rPr>
      </w:pPr>
      <w:r w:rsidRPr="00B84CBC">
        <w:rPr>
          <w:color w:val="000000"/>
        </w:rPr>
        <w:lastRenderedPageBreak/>
        <w:t xml:space="preserve">За 2019 год значение показателя составило 18,3% и увеличилось на </w:t>
      </w:r>
      <w:r w:rsidR="00E06AC0" w:rsidRPr="00B84CBC">
        <w:rPr>
          <w:color w:val="000000"/>
        </w:rPr>
        <w:t>0,6</w:t>
      </w:r>
      <w:r w:rsidR="002E3C7D" w:rsidRPr="00B84CBC">
        <w:rPr>
          <w:color w:val="000000"/>
        </w:rPr>
        <w:t xml:space="preserve"> пункта</w:t>
      </w:r>
      <w:r w:rsidRPr="00B84CBC">
        <w:rPr>
          <w:color w:val="000000"/>
        </w:rPr>
        <w:t xml:space="preserve"> в сравнении с прошлым годом (соотношение числа работающих в МСП – 3 548 чел. к общей среднесписочной численности работников занятых на всех предприятиях и организациях МО г.Саяногорск 19 407 чел., без учета работающих у индивидуальных предпринимателей).</w:t>
      </w:r>
    </w:p>
    <w:p w:rsidR="00D67ED3" w:rsidRPr="00B84CBC" w:rsidRDefault="00D67ED3" w:rsidP="00B66BDD">
      <w:pPr>
        <w:pStyle w:val="a9"/>
        <w:keepNext/>
        <w:suppressLineNumbers/>
        <w:shd w:val="clear" w:color="auto" w:fill="FFFFFF"/>
        <w:suppressAutoHyphens/>
        <w:spacing w:before="0" w:beforeAutospacing="0" w:after="0" w:afterAutospacing="0"/>
        <w:ind w:firstLine="708"/>
        <w:contextualSpacing/>
        <w:jc w:val="both"/>
        <w:rPr>
          <w:sz w:val="10"/>
          <w:szCs w:val="10"/>
        </w:rPr>
      </w:pPr>
    </w:p>
    <w:p w:rsidR="00182854" w:rsidRPr="00B84CBC" w:rsidRDefault="00182854" w:rsidP="00B66BDD">
      <w:pPr>
        <w:keepNext/>
        <w:suppressLineNumbers/>
        <w:suppressAutoHyphens/>
        <w:contextualSpacing/>
        <w:jc w:val="both"/>
        <w:rPr>
          <w:i/>
        </w:rPr>
      </w:pPr>
      <w:r w:rsidRPr="00B84CBC">
        <w:rPr>
          <w:b/>
        </w:rPr>
        <w:t xml:space="preserve">Показатель №3 </w:t>
      </w:r>
      <w:r w:rsidRPr="00B84CBC">
        <w:rPr>
          <w:i/>
        </w:rPr>
        <w:t>«Объем инвестиций в основной капитал (за исключением бюджетных средств) в расчете на 1 жителя»</w:t>
      </w:r>
    </w:p>
    <w:p w:rsidR="002E3C7D" w:rsidRPr="00B84CBC" w:rsidRDefault="002E3C7D" w:rsidP="00B66BDD">
      <w:pPr>
        <w:keepNext/>
        <w:suppressLineNumbers/>
        <w:suppressAutoHyphens/>
        <w:ind w:firstLine="709"/>
        <w:contextualSpacing/>
        <w:jc w:val="both"/>
        <w:rPr>
          <w:color w:val="000000"/>
          <w:lang w:eastAsia="zh-CN"/>
        </w:rPr>
      </w:pPr>
      <w:r w:rsidRPr="00B84CBC">
        <w:rPr>
          <w:color w:val="000000"/>
          <w:lang w:eastAsia="zh-CN"/>
        </w:rPr>
        <w:t>Динамика объемов инвестиций напрямую зависит от реализации инвестиционных программ предприятий и организаций. Инвестиционная деятельность в МО г.Саяногорск за предыдущие годы резко дифференцирована значительным ростом в 2009 году и снижением в последующие годы по причинам завершения крупных строек и вводом в эксплуатацию Хакасского алюминиевого завода, берегового обводного канала, завершением ремонтных работ комплексного восстановления и технического перевооружения Саяно-Шушенского гидроэнергокомплекса, модернизации производств предприятиями компании «РУСАЛ» и реализацией инвестиционной деятельности другими предприятиями и индивидуальными предпринимателями МО г.Саяногорск, на 2020-2022 гг. планируемые величины с учетом инвестиционных проектов крупных предприятий МО г.Саяногорск и инвестиционной деятельности других предприятий и индивидуальных предпринимателей МО г.Саяногорск:</w:t>
      </w:r>
    </w:p>
    <w:tbl>
      <w:tblPr>
        <w:tblW w:w="978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3124"/>
        <w:gridCol w:w="709"/>
        <w:gridCol w:w="992"/>
        <w:gridCol w:w="993"/>
        <w:gridCol w:w="991"/>
        <w:gridCol w:w="992"/>
        <w:gridCol w:w="992"/>
        <w:gridCol w:w="992"/>
      </w:tblGrid>
      <w:tr w:rsidR="002E3C7D" w:rsidRPr="00B84CBC" w:rsidTr="009542AD">
        <w:trPr>
          <w:trHeight w:val="765"/>
        </w:trPr>
        <w:tc>
          <w:tcPr>
            <w:tcW w:w="3124"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Наименование</w:t>
            </w:r>
          </w:p>
        </w:tc>
        <w:tc>
          <w:tcPr>
            <w:tcW w:w="709"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 Ед. изм.</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2017 г.</w:t>
            </w:r>
          </w:p>
        </w:tc>
        <w:tc>
          <w:tcPr>
            <w:tcW w:w="993"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2018 г.</w:t>
            </w:r>
          </w:p>
        </w:tc>
        <w:tc>
          <w:tcPr>
            <w:tcW w:w="991"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2019 г.</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2020 г.</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2021 г.</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2022 г.</w:t>
            </w:r>
          </w:p>
        </w:tc>
      </w:tr>
      <w:tr w:rsidR="002E3C7D" w:rsidRPr="00B84CBC" w:rsidTr="009542AD">
        <w:trPr>
          <w:trHeight w:val="510"/>
        </w:trPr>
        <w:tc>
          <w:tcPr>
            <w:tcW w:w="3124" w:type="dxa"/>
            <w:shd w:val="clear" w:color="auto" w:fill="FFFFFF"/>
            <w:vAlign w:val="center"/>
            <w:hideMark/>
          </w:tcPr>
          <w:p w:rsidR="002E3C7D" w:rsidRPr="00B84CBC" w:rsidRDefault="002E3C7D" w:rsidP="00B66BDD">
            <w:pPr>
              <w:keepNext/>
              <w:suppressLineNumbers/>
              <w:suppressAutoHyphens/>
              <w:contextualSpacing/>
              <w:rPr>
                <w:iCs/>
                <w:color w:val="000000"/>
              </w:rPr>
            </w:pPr>
            <w:r w:rsidRPr="00B84CBC">
              <w:rPr>
                <w:iCs/>
                <w:color w:val="000000"/>
                <w:sz w:val="22"/>
                <w:szCs w:val="22"/>
              </w:rPr>
              <w:t>Объем инвестиций в основной капитал (крупных и средних предприятий)</w:t>
            </w:r>
          </w:p>
        </w:tc>
        <w:tc>
          <w:tcPr>
            <w:tcW w:w="709"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 млн. руб.</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 xml:space="preserve">3 975,4 </w:t>
            </w:r>
          </w:p>
        </w:tc>
        <w:tc>
          <w:tcPr>
            <w:tcW w:w="993"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 xml:space="preserve">2 708,4 </w:t>
            </w:r>
          </w:p>
        </w:tc>
        <w:tc>
          <w:tcPr>
            <w:tcW w:w="991"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4 327,9</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 xml:space="preserve">6 816,8 </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 xml:space="preserve">7 763,1 </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rPr>
            </w:pPr>
            <w:r w:rsidRPr="00B84CBC">
              <w:rPr>
                <w:iCs/>
                <w:color w:val="000000"/>
                <w:sz w:val="22"/>
                <w:szCs w:val="22"/>
              </w:rPr>
              <w:t>8 294,5</w:t>
            </w:r>
          </w:p>
        </w:tc>
      </w:tr>
      <w:tr w:rsidR="002E3C7D" w:rsidRPr="00B84CBC" w:rsidTr="009542AD">
        <w:trPr>
          <w:trHeight w:val="255"/>
        </w:trPr>
        <w:tc>
          <w:tcPr>
            <w:tcW w:w="3124"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в том числе:</w:t>
            </w:r>
          </w:p>
        </w:tc>
        <w:tc>
          <w:tcPr>
            <w:tcW w:w="709"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2"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3"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1"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2"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2"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c>
          <w:tcPr>
            <w:tcW w:w="992" w:type="dxa"/>
            <w:shd w:val="clear" w:color="auto" w:fill="FFFFFF"/>
            <w:vAlign w:val="center"/>
          </w:tcPr>
          <w:p w:rsidR="002E3C7D" w:rsidRPr="00B84CBC" w:rsidRDefault="002E3C7D" w:rsidP="00B66BDD">
            <w:pPr>
              <w:keepNext/>
              <w:suppressLineNumbers/>
              <w:suppressAutoHyphens/>
              <w:contextualSpacing/>
              <w:jc w:val="center"/>
              <w:rPr>
                <w:iCs/>
                <w:color w:val="000000"/>
                <w:sz w:val="20"/>
                <w:szCs w:val="20"/>
              </w:rPr>
            </w:pPr>
          </w:p>
        </w:tc>
      </w:tr>
      <w:tr w:rsidR="002E3C7D" w:rsidRPr="00B84CBC" w:rsidTr="009542AD">
        <w:trPr>
          <w:trHeight w:val="255"/>
        </w:trPr>
        <w:tc>
          <w:tcPr>
            <w:tcW w:w="3124" w:type="dxa"/>
            <w:shd w:val="clear" w:color="auto" w:fill="FFFFFF"/>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бюджетные средства</w:t>
            </w:r>
          </w:p>
        </w:tc>
        <w:tc>
          <w:tcPr>
            <w:tcW w:w="709" w:type="dxa"/>
            <w:shd w:val="clear" w:color="auto" w:fill="FFFFFF"/>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млн. руб.</w:t>
            </w:r>
          </w:p>
        </w:tc>
        <w:tc>
          <w:tcPr>
            <w:tcW w:w="992"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16,3</w:t>
            </w:r>
          </w:p>
        </w:tc>
        <w:tc>
          <w:tcPr>
            <w:tcW w:w="993"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32,9</w:t>
            </w:r>
          </w:p>
        </w:tc>
        <w:tc>
          <w:tcPr>
            <w:tcW w:w="991" w:type="dxa"/>
            <w:shd w:val="clear" w:color="auto" w:fill="FFFFFF"/>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83,3</w:t>
            </w:r>
          </w:p>
        </w:tc>
        <w:tc>
          <w:tcPr>
            <w:tcW w:w="992" w:type="dxa"/>
            <w:shd w:val="clear" w:color="auto" w:fill="FFFFFF"/>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45,4</w:t>
            </w:r>
          </w:p>
        </w:tc>
        <w:tc>
          <w:tcPr>
            <w:tcW w:w="992" w:type="dxa"/>
            <w:shd w:val="clear" w:color="auto" w:fill="FFFFFF"/>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55,8</w:t>
            </w:r>
          </w:p>
        </w:tc>
        <w:tc>
          <w:tcPr>
            <w:tcW w:w="992" w:type="dxa"/>
            <w:shd w:val="clear" w:color="auto" w:fill="FFFFFF"/>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42,6</w:t>
            </w:r>
          </w:p>
        </w:tc>
      </w:tr>
    </w:tbl>
    <w:p w:rsidR="002E3C7D" w:rsidRPr="00B84CBC" w:rsidRDefault="002E3C7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lang w:eastAsia="zh-CN"/>
        </w:rPr>
        <w:t>Помимо градообразующих предприятий цветной металлургии и электроэнергетики в общий объем инвестиций значителен вклад других предприятий и индивидуальных предпринимателей МО г.Саяногорск (ежегодно от 1,7-2,1 миллиарда рублей). Достижение таких результатов стало возможным благодаря высокой инвестиционной и инновационной активности хозяйствующих субъектов, постоянному вложению предприятиями средств в основной капитал за счет собственных и привлеченных источников финансирования, направляемых на модернизацию, реконструкцию, приобретение основных средств и улучшение технологического процесса, создание новых и реконструкцию (модернизацию) производств, объектов торговли, общественного питания, туризма и инженерной инфраструктуры.</w:t>
      </w:r>
    </w:p>
    <w:p w:rsidR="002E3C7D" w:rsidRPr="00B84CBC" w:rsidRDefault="002E3C7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Демографическая динамика населения МО г.Саяногорск за 2017-2019 гг. фактически сложившаяся (по сведениям Красноярскстата), на 2020-2022 гг. плановые величины.</w:t>
      </w:r>
    </w:p>
    <w:p w:rsidR="002E3C7D" w:rsidRPr="00B84CBC" w:rsidRDefault="002E3C7D"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Значения показателя представлены по годам в таблице: </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1"/>
        <w:gridCol w:w="2273"/>
        <w:gridCol w:w="851"/>
        <w:gridCol w:w="986"/>
        <w:gridCol w:w="993"/>
        <w:gridCol w:w="1021"/>
        <w:gridCol w:w="1105"/>
        <w:gridCol w:w="1134"/>
        <w:gridCol w:w="1134"/>
      </w:tblGrid>
      <w:tr w:rsidR="002E3C7D" w:rsidRPr="00B84CBC" w:rsidTr="009542AD">
        <w:trPr>
          <w:trHeight w:val="255"/>
        </w:trPr>
        <w:tc>
          <w:tcPr>
            <w:tcW w:w="431" w:type="dxa"/>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 пп</w:t>
            </w:r>
          </w:p>
        </w:tc>
        <w:tc>
          <w:tcPr>
            <w:tcW w:w="2273"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Наименование</w:t>
            </w:r>
          </w:p>
        </w:tc>
        <w:tc>
          <w:tcPr>
            <w:tcW w:w="851"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 Ед. изм.</w:t>
            </w:r>
          </w:p>
        </w:tc>
        <w:tc>
          <w:tcPr>
            <w:tcW w:w="986" w:type="dxa"/>
            <w:vAlign w:val="center"/>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2017 г.</w:t>
            </w:r>
          </w:p>
        </w:tc>
        <w:tc>
          <w:tcPr>
            <w:tcW w:w="993"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2018 г.</w:t>
            </w:r>
          </w:p>
        </w:tc>
        <w:tc>
          <w:tcPr>
            <w:tcW w:w="1021"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highlight w:val="yellow"/>
              </w:rPr>
            </w:pPr>
            <w:r w:rsidRPr="00B84CBC">
              <w:rPr>
                <w:iCs/>
                <w:color w:val="000000"/>
                <w:sz w:val="20"/>
                <w:szCs w:val="20"/>
              </w:rPr>
              <w:t>2019 г.</w:t>
            </w:r>
          </w:p>
        </w:tc>
        <w:tc>
          <w:tcPr>
            <w:tcW w:w="1105"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2020 г.</w:t>
            </w:r>
          </w:p>
        </w:tc>
        <w:tc>
          <w:tcPr>
            <w:tcW w:w="1134"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2021 г.</w:t>
            </w:r>
          </w:p>
        </w:tc>
        <w:tc>
          <w:tcPr>
            <w:tcW w:w="1134" w:type="dxa"/>
            <w:shd w:val="clear" w:color="auto" w:fill="auto"/>
            <w:noWrap/>
            <w:vAlign w:val="center"/>
            <w:hideMark/>
          </w:tcPr>
          <w:p w:rsidR="002E3C7D" w:rsidRPr="00B84CBC" w:rsidRDefault="002E3C7D" w:rsidP="00B66BDD">
            <w:pPr>
              <w:keepNext/>
              <w:suppressLineNumbers/>
              <w:suppressAutoHyphens/>
              <w:contextualSpacing/>
              <w:jc w:val="center"/>
              <w:rPr>
                <w:iCs/>
                <w:color w:val="000000"/>
                <w:sz w:val="20"/>
                <w:szCs w:val="20"/>
              </w:rPr>
            </w:pPr>
            <w:r w:rsidRPr="00B84CBC">
              <w:rPr>
                <w:iCs/>
                <w:color w:val="000000"/>
                <w:sz w:val="20"/>
                <w:szCs w:val="20"/>
              </w:rPr>
              <w:t>2022 г.</w:t>
            </w:r>
          </w:p>
        </w:tc>
      </w:tr>
      <w:tr w:rsidR="002E3C7D" w:rsidRPr="00B84CBC" w:rsidTr="009542AD">
        <w:trPr>
          <w:trHeight w:val="810"/>
        </w:trPr>
        <w:tc>
          <w:tcPr>
            <w:tcW w:w="431" w:type="dxa"/>
            <w:vAlign w:val="center"/>
          </w:tcPr>
          <w:p w:rsidR="002E3C7D" w:rsidRPr="00B84CBC" w:rsidRDefault="002E3C7D" w:rsidP="00B66BDD">
            <w:pPr>
              <w:keepNext/>
              <w:suppressLineNumbers/>
              <w:suppressAutoHyphens/>
              <w:contextualSpacing/>
              <w:rPr>
                <w:bCs/>
                <w:color w:val="000000"/>
              </w:rPr>
            </w:pPr>
            <w:r w:rsidRPr="00B84CBC">
              <w:rPr>
                <w:bCs/>
                <w:color w:val="000000"/>
                <w:sz w:val="22"/>
                <w:szCs w:val="22"/>
              </w:rPr>
              <w:t>3.</w:t>
            </w:r>
          </w:p>
        </w:tc>
        <w:tc>
          <w:tcPr>
            <w:tcW w:w="2273" w:type="dxa"/>
            <w:shd w:val="clear" w:color="auto" w:fill="auto"/>
            <w:vAlign w:val="center"/>
            <w:hideMark/>
          </w:tcPr>
          <w:p w:rsidR="002E3C7D" w:rsidRPr="00B84CBC" w:rsidRDefault="002E3C7D" w:rsidP="00B66BDD">
            <w:pPr>
              <w:keepNext/>
              <w:suppressLineNumbers/>
              <w:suppressAutoHyphens/>
              <w:contextualSpacing/>
              <w:rPr>
                <w:color w:val="000000"/>
              </w:rPr>
            </w:pPr>
            <w:r w:rsidRPr="00B84CBC">
              <w:rPr>
                <w:color w:val="000000"/>
                <w:sz w:val="22"/>
                <w:szCs w:val="22"/>
              </w:rPr>
              <w:t>Объем инвестиций в основной капитал</w:t>
            </w:r>
          </w:p>
          <w:p w:rsidR="002E3C7D" w:rsidRPr="00B84CBC" w:rsidRDefault="002E3C7D" w:rsidP="00B66BDD">
            <w:pPr>
              <w:keepNext/>
              <w:suppressLineNumbers/>
              <w:suppressAutoHyphens/>
              <w:contextualSpacing/>
              <w:rPr>
                <w:color w:val="000000"/>
              </w:rPr>
            </w:pPr>
            <w:r w:rsidRPr="00B84CBC">
              <w:rPr>
                <w:color w:val="000000"/>
                <w:sz w:val="22"/>
                <w:szCs w:val="22"/>
              </w:rPr>
              <w:t>(за исключением бюджетных средств) в расчете на 1 жителя</w:t>
            </w:r>
          </w:p>
        </w:tc>
        <w:tc>
          <w:tcPr>
            <w:tcW w:w="851" w:type="dxa"/>
            <w:shd w:val="clear" w:color="auto" w:fill="auto"/>
            <w:vAlign w:val="center"/>
            <w:hideMark/>
          </w:tcPr>
          <w:p w:rsidR="002E3C7D" w:rsidRPr="00B84CBC" w:rsidRDefault="002E3C7D" w:rsidP="00B66BDD">
            <w:pPr>
              <w:keepNext/>
              <w:suppressLineNumbers/>
              <w:suppressAutoHyphens/>
              <w:contextualSpacing/>
              <w:rPr>
                <w:color w:val="000000"/>
                <w:sz w:val="20"/>
                <w:szCs w:val="20"/>
              </w:rPr>
            </w:pPr>
            <w:r w:rsidRPr="00B84CBC">
              <w:rPr>
                <w:color w:val="000000"/>
                <w:sz w:val="20"/>
                <w:szCs w:val="20"/>
              </w:rPr>
              <w:t>рублей</w:t>
            </w:r>
          </w:p>
        </w:tc>
        <w:tc>
          <w:tcPr>
            <w:tcW w:w="986" w:type="dxa"/>
            <w:vAlign w:val="center"/>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62 338,3</w:t>
            </w:r>
          </w:p>
        </w:tc>
        <w:tc>
          <w:tcPr>
            <w:tcW w:w="993" w:type="dxa"/>
            <w:shd w:val="clear" w:color="auto" w:fill="auto"/>
            <w:vAlign w:val="center"/>
            <w:hideMark/>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41 431,3</w:t>
            </w:r>
          </w:p>
        </w:tc>
        <w:tc>
          <w:tcPr>
            <w:tcW w:w="1021" w:type="dxa"/>
            <w:shd w:val="clear" w:color="auto" w:fill="auto"/>
            <w:vAlign w:val="center"/>
            <w:hideMark/>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68 462,3</w:t>
            </w:r>
          </w:p>
        </w:tc>
        <w:tc>
          <w:tcPr>
            <w:tcW w:w="1105" w:type="dxa"/>
            <w:shd w:val="clear" w:color="auto" w:fill="auto"/>
            <w:vAlign w:val="center"/>
            <w:hideMark/>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111 889,3</w:t>
            </w:r>
          </w:p>
        </w:tc>
        <w:tc>
          <w:tcPr>
            <w:tcW w:w="1134" w:type="dxa"/>
            <w:shd w:val="clear" w:color="auto" w:fill="auto"/>
            <w:vAlign w:val="center"/>
            <w:hideMark/>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137 709,0</w:t>
            </w:r>
          </w:p>
        </w:tc>
        <w:tc>
          <w:tcPr>
            <w:tcW w:w="1134" w:type="dxa"/>
            <w:shd w:val="clear" w:color="auto" w:fill="auto"/>
            <w:vAlign w:val="center"/>
            <w:hideMark/>
          </w:tcPr>
          <w:p w:rsidR="002E3C7D" w:rsidRPr="00B84CBC" w:rsidRDefault="002E3C7D" w:rsidP="00B66BDD">
            <w:pPr>
              <w:keepNext/>
              <w:suppressLineNumbers/>
              <w:suppressAutoHyphens/>
              <w:contextualSpacing/>
              <w:jc w:val="center"/>
              <w:rPr>
                <w:color w:val="000000"/>
                <w:sz w:val="22"/>
                <w:szCs w:val="22"/>
              </w:rPr>
            </w:pPr>
            <w:r w:rsidRPr="00B84CBC">
              <w:rPr>
                <w:color w:val="000000"/>
                <w:sz w:val="22"/>
                <w:szCs w:val="22"/>
              </w:rPr>
              <w:t>117 290,8</w:t>
            </w:r>
          </w:p>
        </w:tc>
      </w:tr>
    </w:tbl>
    <w:p w:rsidR="002E3C7D" w:rsidRPr="00B84CBC" w:rsidRDefault="002E3C7D" w:rsidP="00B66BDD">
      <w:pPr>
        <w:pStyle w:val="a9"/>
        <w:keepNext/>
        <w:suppressLineNumbers/>
        <w:shd w:val="clear" w:color="auto" w:fill="FFFFFF"/>
        <w:suppressAutoHyphens/>
        <w:spacing w:before="0" w:beforeAutospacing="0" w:after="0" w:afterAutospacing="0"/>
        <w:ind w:firstLine="708"/>
        <w:contextualSpacing/>
        <w:jc w:val="both"/>
        <w:rPr>
          <w:b/>
          <w:color w:val="000000"/>
          <w:sz w:val="26"/>
          <w:szCs w:val="26"/>
        </w:rPr>
      </w:pPr>
      <w:r w:rsidRPr="00B84CBC">
        <w:rPr>
          <w:color w:val="000000"/>
          <w:sz w:val="26"/>
          <w:szCs w:val="26"/>
        </w:rPr>
        <w:t>За 2019 год значение показателя составило 68 462,3 руб./1 жителя, в сравнении с прошлым годом увеличилось на 26 896,6 руб./1 жителя (в 1,6 раза).</w:t>
      </w:r>
    </w:p>
    <w:p w:rsidR="00640931" w:rsidRPr="00B84CBC" w:rsidRDefault="00640931" w:rsidP="00B66BDD">
      <w:pPr>
        <w:pStyle w:val="a9"/>
        <w:keepNext/>
        <w:suppressLineNumbers/>
        <w:shd w:val="clear" w:color="auto" w:fill="FFFFFF"/>
        <w:suppressAutoHyphens/>
        <w:spacing w:before="0" w:beforeAutospacing="0" w:after="0" w:afterAutospacing="0"/>
        <w:ind w:firstLine="708"/>
        <w:contextualSpacing/>
        <w:jc w:val="both"/>
        <w:rPr>
          <w:color w:val="FF0000"/>
          <w:sz w:val="10"/>
          <w:szCs w:val="10"/>
        </w:rPr>
      </w:pPr>
    </w:p>
    <w:p w:rsidR="006039EB" w:rsidRPr="00B84CBC" w:rsidRDefault="006039EB" w:rsidP="00B66BDD">
      <w:pPr>
        <w:keepNext/>
        <w:suppressLineNumbers/>
        <w:suppressAutoHyphens/>
        <w:contextualSpacing/>
        <w:jc w:val="both"/>
        <w:rPr>
          <w:i/>
        </w:rPr>
      </w:pPr>
      <w:r w:rsidRPr="00B84CBC">
        <w:rPr>
          <w:b/>
        </w:rPr>
        <w:t>Показатель №4</w:t>
      </w:r>
      <w:r w:rsidRPr="00B84CBC">
        <w:rPr>
          <w:b/>
          <w:i/>
          <w:lang w:eastAsia="ar-SA"/>
        </w:rPr>
        <w:t xml:space="preserve"> </w:t>
      </w:r>
      <w:r w:rsidRPr="00B84CBC">
        <w:rPr>
          <w:i/>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774D5B" w:rsidRPr="00B84CBC" w:rsidRDefault="00774D5B" w:rsidP="00B66BDD">
      <w:pPr>
        <w:keepNext/>
        <w:suppressLineNumbers/>
        <w:suppressAutoHyphens/>
        <w:ind w:firstLine="708"/>
        <w:contextualSpacing/>
        <w:jc w:val="both"/>
        <w:rPr>
          <w:lang w:eastAsia="ar-SA"/>
        </w:rPr>
      </w:pPr>
      <w:r w:rsidRPr="00B84CBC">
        <w:rPr>
          <w:lang w:eastAsia="ar-SA"/>
        </w:rPr>
        <w:t xml:space="preserve">По состоянию на 01.01.2020 г., общая площадь всех земельных участков, стоящих на государственном кадастровом учете  составила 4636 га. Не являющихся объектами налогообложения земельные участки под многоквартирными домами составляет 112 га в МО г. Саяногорск. Таким образом, площадь земельных участков, являющихся объектами </w:t>
      </w:r>
      <w:r w:rsidRPr="00B84CBC">
        <w:rPr>
          <w:lang w:eastAsia="ar-SA"/>
        </w:rPr>
        <w:lastRenderedPageBreak/>
        <w:t>налогообложения – 4524 га. Общая площадь территории муниципального образования город Саяногорск составляет 11749,46га. За 12 месяцев 2018 г. 6 га земельных участков предоставлено гражданам под ИЖС, 11 га  - под садоводство, 1 га – под гаражи,  4 га – под производственные базы, и прочие объекты, 7 га под сенокошение Всего предоставлено 29 га.   Таким образом значение показателя на 01.01.2020 года равно 38,5%.</w:t>
      </w:r>
    </w:p>
    <w:p w:rsidR="00774D5B" w:rsidRPr="00B84CBC" w:rsidRDefault="00774D5B" w:rsidP="00B66BDD">
      <w:pPr>
        <w:keepNext/>
        <w:suppressLineNumbers/>
        <w:suppressAutoHyphens/>
        <w:ind w:firstLine="708"/>
        <w:contextualSpacing/>
        <w:jc w:val="both"/>
        <w:rPr>
          <w:lang w:eastAsia="ar-SA"/>
        </w:rPr>
      </w:pPr>
      <w:r w:rsidRPr="00B84CBC">
        <w:rPr>
          <w:lang w:eastAsia="ar-SA"/>
        </w:rPr>
        <w:t>Следует отметить, что в соответствии  с географическим положением, рельефом территории городского округа, а также сложившейся градостроительной ситуацией, Генеральным планом городского округа не предусматривается строительство, введение в оборот и, соответственно, налогообложение в отношении земель ориентировочной площадью 3000 га, что составляет 26% территории городского округа (зона влияния алюминиевого производства, лесные массивы с горными неудобиями).</w:t>
      </w:r>
    </w:p>
    <w:p w:rsidR="00685FBF" w:rsidRPr="00B84CBC" w:rsidRDefault="00685FBF" w:rsidP="00B66BDD">
      <w:pPr>
        <w:keepNext/>
        <w:suppressLineNumbers/>
        <w:suppressAutoHyphens/>
        <w:ind w:firstLine="708"/>
        <w:contextualSpacing/>
        <w:jc w:val="both"/>
        <w:rPr>
          <w:sz w:val="10"/>
          <w:szCs w:val="10"/>
          <w:lang w:eastAsia="ar-SA"/>
        </w:rPr>
      </w:pPr>
    </w:p>
    <w:p w:rsidR="006039EB" w:rsidRPr="00B84CBC" w:rsidRDefault="006039EB" w:rsidP="00B66BDD">
      <w:pPr>
        <w:keepNext/>
        <w:suppressLineNumbers/>
        <w:suppressAutoHyphens/>
        <w:contextualSpacing/>
        <w:jc w:val="both"/>
        <w:rPr>
          <w:i/>
        </w:rPr>
      </w:pPr>
      <w:r w:rsidRPr="00B84CBC">
        <w:rPr>
          <w:b/>
        </w:rPr>
        <w:t>Показатель №5</w:t>
      </w:r>
      <w:r w:rsidRPr="00B84CBC">
        <w:t xml:space="preserve"> </w:t>
      </w:r>
      <w:r w:rsidRPr="00B84CBC">
        <w:rPr>
          <w:i/>
        </w:rPr>
        <w:t>«Доля прибыльных сельскохозяйственных организаций в общем их числе».</w:t>
      </w:r>
    </w:p>
    <w:p w:rsidR="00BF0E6C" w:rsidRPr="00B84CBC" w:rsidRDefault="00796000" w:rsidP="00B66BDD">
      <w:pPr>
        <w:pStyle w:val="a9"/>
        <w:keepNext/>
        <w:suppressLineNumbers/>
        <w:shd w:val="clear" w:color="auto" w:fill="FFFFFF"/>
        <w:suppressAutoHyphens/>
        <w:spacing w:before="0" w:beforeAutospacing="0" w:after="0" w:afterAutospacing="0"/>
        <w:ind w:firstLine="708"/>
        <w:contextualSpacing/>
        <w:jc w:val="both"/>
      </w:pPr>
      <w:r w:rsidRPr="00B84CBC">
        <w:t>На территории муниципального образования г.Саяногорск осуществляют свою деятельность 4 сельскохозяйственных организаци</w:t>
      </w:r>
      <w:r w:rsidR="006927F2" w:rsidRPr="00B84CBC">
        <w:t>и</w:t>
      </w:r>
      <w:r w:rsidRPr="00B84CBC">
        <w:t xml:space="preserve">: ООО «Саянская форель», ИП Новоселов С.А. форелевое хозяйство «Изербель», ООО «Саянская грибная компания», САУ РХ «Саянлессервис». Деятельность данных организаций является прибыльной, так как </w:t>
      </w:r>
      <w:r w:rsidR="009542AD" w:rsidRPr="00B84CBC">
        <w:t xml:space="preserve">ни одна из сельскохозяйственных организаций не сообщала об </w:t>
      </w:r>
      <w:r w:rsidRPr="00B84CBC">
        <w:t>их убыточности.</w:t>
      </w:r>
      <w:r w:rsidR="00BF0E6C" w:rsidRPr="00B84CBC">
        <w:t xml:space="preserve"> </w:t>
      </w:r>
    </w:p>
    <w:p w:rsidR="00796000" w:rsidRPr="00B84CBC" w:rsidRDefault="00BF0E6C" w:rsidP="00B66BDD">
      <w:pPr>
        <w:pStyle w:val="a9"/>
        <w:keepNext/>
        <w:suppressLineNumbers/>
        <w:shd w:val="clear" w:color="auto" w:fill="FFFFFF"/>
        <w:suppressAutoHyphens/>
        <w:spacing w:before="0" w:beforeAutospacing="0" w:after="0" w:afterAutospacing="0"/>
        <w:ind w:firstLine="708"/>
        <w:contextualSpacing/>
        <w:jc w:val="both"/>
      </w:pPr>
      <w:r w:rsidRPr="00B84CBC">
        <w:t>Доля прибыльных сельскохозяйственных организаций в предыдущие годы соста</w:t>
      </w:r>
      <w:r w:rsidR="009542AD" w:rsidRPr="00B84CBC">
        <w:t xml:space="preserve">вляла 100% и </w:t>
      </w:r>
      <w:r w:rsidR="006C401A" w:rsidRPr="00B84CBC">
        <w:t>планируется на 2020</w:t>
      </w:r>
      <w:r w:rsidRPr="00B84CBC">
        <w:t>-202</w:t>
      </w:r>
      <w:r w:rsidR="006C401A" w:rsidRPr="00B84CBC">
        <w:t>2</w:t>
      </w:r>
      <w:r w:rsidRPr="00B84CBC">
        <w:t xml:space="preserve"> </w:t>
      </w:r>
      <w:r w:rsidR="009542AD" w:rsidRPr="00B84CBC">
        <w:t xml:space="preserve">годы </w:t>
      </w:r>
      <w:r w:rsidRPr="00B84CBC">
        <w:t>– 100%.</w:t>
      </w:r>
    </w:p>
    <w:p w:rsidR="00AC4898" w:rsidRPr="00B84CBC" w:rsidRDefault="00AC4898" w:rsidP="00B66BDD">
      <w:pPr>
        <w:pStyle w:val="a9"/>
        <w:keepNext/>
        <w:suppressLineNumbers/>
        <w:shd w:val="clear" w:color="auto" w:fill="FFFFFF"/>
        <w:suppressAutoHyphens/>
        <w:spacing w:before="0" w:beforeAutospacing="0" w:after="0" w:afterAutospacing="0"/>
        <w:ind w:firstLine="708"/>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 xml:space="preserve">Показатель №6 </w:t>
      </w:r>
      <w:r w:rsidRPr="00B84CBC">
        <w:rPr>
          <w:i/>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46759D" w:rsidRPr="00B84CBC" w:rsidRDefault="0046759D" w:rsidP="00B66BDD">
      <w:pPr>
        <w:pStyle w:val="a9"/>
        <w:keepNext/>
        <w:suppressLineNumbers/>
        <w:shd w:val="clear" w:color="auto" w:fill="FFFFFF"/>
        <w:suppressAutoHyphens/>
        <w:spacing w:before="0" w:beforeAutospacing="0" w:after="0" w:afterAutospacing="0"/>
        <w:ind w:firstLine="708"/>
        <w:contextualSpacing/>
        <w:jc w:val="both"/>
      </w:pPr>
      <w:r w:rsidRPr="00B84CBC">
        <w:t>В соответствии с постановлением Администрации муниципального образования город Саяногорск от 23.11.2017 № 951 «Об утверждении нормативов финансовых затрат и Правил расчета размера ассигнований местного бюджета на капитальный ремонт, ремонт, содержание автомобильных дорог общего пользования местного значения муниципального образования город Саяногорск», при общей протяженности дорог общего пользования местного значения 119,17 км, ежегодно необходимо производить ремонт 23 км дорог в целях приведения их в нормативное состояние.</w:t>
      </w:r>
    </w:p>
    <w:p w:rsidR="0046759D" w:rsidRPr="00B84CBC" w:rsidRDefault="0046759D" w:rsidP="00B66BDD">
      <w:pPr>
        <w:pStyle w:val="a9"/>
        <w:keepNext/>
        <w:suppressLineNumbers/>
        <w:shd w:val="clear" w:color="auto" w:fill="FFFFFF"/>
        <w:suppressAutoHyphens/>
        <w:spacing w:before="0" w:beforeAutospacing="0" w:after="0" w:afterAutospacing="0"/>
        <w:ind w:firstLine="708"/>
        <w:contextualSpacing/>
        <w:jc w:val="both"/>
      </w:pPr>
      <w:r w:rsidRPr="00B84CBC">
        <w:t>В 2019</w:t>
      </w:r>
      <w:r w:rsidR="009542AD" w:rsidRPr="00B84CBC">
        <w:t xml:space="preserve"> году </w:t>
      </w:r>
      <w:r w:rsidRPr="00B84CBC">
        <w:t xml:space="preserve">за счет субсидии из республиканского бюджета, на территории муниципального образования город Саяногорск улучшено состояние дорог общего пользования местного значения общей протяженностью 6,55 км, в том числе произведен </w:t>
      </w:r>
      <w:r w:rsidR="009542AD" w:rsidRPr="00B84CBC">
        <w:t>«</w:t>
      </w:r>
      <w:r w:rsidRPr="00B84CBC">
        <w:t>ямочный</w:t>
      </w:r>
      <w:r w:rsidR="009542AD" w:rsidRPr="00B84CBC">
        <w:t>»</w:t>
      </w:r>
      <w:r w:rsidRPr="00B84CBC">
        <w:t xml:space="preserve"> ремонт асфальтового покрытия. Это способствовало снижению показателя протяженности автомобильных дорог, не отвечающих нормативным требованиям к концу 2019 года до 45,67 км. (38,33% от общей протяженности).</w:t>
      </w:r>
    </w:p>
    <w:p w:rsidR="00E1147A" w:rsidRPr="00B84CBC" w:rsidRDefault="0046759D" w:rsidP="00B66BDD">
      <w:pPr>
        <w:pStyle w:val="a9"/>
        <w:keepNext/>
        <w:suppressLineNumbers/>
        <w:shd w:val="clear" w:color="auto" w:fill="FFFFFF"/>
        <w:suppressAutoHyphens/>
        <w:spacing w:before="0" w:beforeAutospacing="0" w:after="0" w:afterAutospacing="0"/>
        <w:ind w:firstLine="708"/>
        <w:contextualSpacing/>
        <w:jc w:val="both"/>
      </w:pPr>
      <w:r w:rsidRPr="00B84CBC">
        <w:t>В 2020</w:t>
      </w:r>
      <w:r w:rsidR="009542AD" w:rsidRPr="00B84CBC">
        <w:t xml:space="preserve"> году</w:t>
      </w:r>
      <w:r w:rsidRPr="00B84CBC">
        <w:t xml:space="preserve"> за счет субсидий из республиканского бюджета Республики Хакасия, планируется выполнить ремонт 7,4 км автомобильных дорог, что при достаточном финансировании мероприятий по ремонту автомобильных дорог, позволит достигнуть в полном объеме, утвержденного нормативом, значения планового показателя </w:t>
      </w:r>
      <w:r w:rsidR="009542AD" w:rsidRPr="00B84CBC">
        <w:t xml:space="preserve">к </w:t>
      </w:r>
      <w:r w:rsidRPr="00B84CBC">
        <w:t>2022 год</w:t>
      </w:r>
      <w:r w:rsidR="009542AD" w:rsidRPr="00B84CBC">
        <w:t>у</w:t>
      </w:r>
      <w:r w:rsidRPr="00B84CBC">
        <w:t xml:space="preserve"> - 42,5. </w:t>
      </w:r>
    </w:p>
    <w:p w:rsidR="00E1147A" w:rsidRPr="00B84CBC" w:rsidRDefault="00E1147A" w:rsidP="00B66BDD">
      <w:pPr>
        <w:keepNext/>
        <w:suppressLineNumbers/>
        <w:suppressAutoHyphens/>
        <w:autoSpaceDE w:val="0"/>
        <w:autoSpaceDN w:val="0"/>
        <w:adjustRightInd w:val="0"/>
        <w:ind w:firstLine="540"/>
        <w:contextualSpacing/>
        <w:jc w:val="both"/>
        <w:rPr>
          <w:sz w:val="10"/>
          <w:szCs w:val="10"/>
          <w:lang w:eastAsia="ar-SA"/>
        </w:rPr>
      </w:pPr>
    </w:p>
    <w:p w:rsidR="006039EB" w:rsidRPr="00B84CBC" w:rsidRDefault="006039EB" w:rsidP="00B66BDD">
      <w:pPr>
        <w:keepNext/>
        <w:suppressLineNumbers/>
        <w:suppressAutoHyphens/>
        <w:autoSpaceDE w:val="0"/>
        <w:autoSpaceDN w:val="0"/>
        <w:adjustRightInd w:val="0"/>
        <w:contextualSpacing/>
        <w:jc w:val="both"/>
        <w:rPr>
          <w:lang w:eastAsia="ar-SA"/>
        </w:rPr>
      </w:pPr>
      <w:r w:rsidRPr="00B84CBC">
        <w:rPr>
          <w:b/>
        </w:rPr>
        <w:t>Показатель №7 </w:t>
      </w:r>
      <w:r w:rsidRPr="00B84CBC">
        <w:rPr>
          <w:i/>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9D29D6" w:rsidRPr="00B84CBC" w:rsidRDefault="009D29D6" w:rsidP="00B66BDD">
      <w:pPr>
        <w:keepNext/>
        <w:suppressLineNumbers/>
        <w:suppressAutoHyphens/>
        <w:ind w:firstLine="709"/>
        <w:contextualSpacing/>
        <w:jc w:val="both"/>
      </w:pPr>
      <w:r w:rsidRPr="00B84CBC">
        <w:t xml:space="preserve">В настоящее время все населенные пункты, расположенные в границах городского округа </w:t>
      </w:r>
      <w:r w:rsidR="00B629E9" w:rsidRPr="00B84CBC">
        <w:t>муниципального образования город Саяногорск</w:t>
      </w:r>
      <w:r w:rsidRPr="00B84CBC">
        <w:t>, обеспечены автобусным сообщением с административным центром (городом Саяногорском) по сети автомоби</w:t>
      </w:r>
      <w:r w:rsidR="00930278" w:rsidRPr="00B84CBC">
        <w:t xml:space="preserve">льных дорог общего пользования. </w:t>
      </w:r>
      <w:r w:rsidRPr="00B84CBC">
        <w:t xml:space="preserve">Сохраняется низкий уровень развития дорожной сети территории МО г.Саяногорск (нет железнодорожного сообщения). </w:t>
      </w:r>
    </w:p>
    <w:p w:rsidR="00B629E9" w:rsidRPr="00B84CBC" w:rsidRDefault="00B629E9" w:rsidP="00B66BDD">
      <w:pPr>
        <w:keepNext/>
        <w:suppressLineNumbers/>
        <w:suppressAutoHyphens/>
        <w:ind w:firstLine="709"/>
        <w:contextualSpacing/>
        <w:jc w:val="both"/>
        <w:rPr>
          <w:sz w:val="10"/>
          <w:szCs w:val="10"/>
        </w:rPr>
      </w:pPr>
    </w:p>
    <w:p w:rsidR="00EB469D" w:rsidRPr="00B84CBC" w:rsidRDefault="006039EB" w:rsidP="00B66BDD">
      <w:pPr>
        <w:keepNext/>
        <w:suppressLineNumbers/>
        <w:suppressAutoHyphens/>
        <w:contextualSpacing/>
        <w:jc w:val="both"/>
        <w:rPr>
          <w:i/>
        </w:rPr>
      </w:pPr>
      <w:r w:rsidRPr="00B84CBC">
        <w:rPr>
          <w:b/>
        </w:rPr>
        <w:t>Показатель №8</w:t>
      </w:r>
      <w:r w:rsidRPr="00B84CBC">
        <w:t xml:space="preserve"> </w:t>
      </w:r>
      <w:r w:rsidRPr="00B84CBC">
        <w:rPr>
          <w:i/>
        </w:rPr>
        <w:t>«Среднемесячная номинальная начислен</w:t>
      </w:r>
      <w:r w:rsidR="00EB469D" w:rsidRPr="00B84CBC">
        <w:rPr>
          <w:i/>
        </w:rPr>
        <w:t>ная заработная плата работников:</w:t>
      </w:r>
    </w:p>
    <w:p w:rsidR="00EB469D" w:rsidRPr="00B84CBC" w:rsidRDefault="00EB469D" w:rsidP="00B66BDD">
      <w:pPr>
        <w:keepNext/>
        <w:suppressLineNumbers/>
        <w:suppressAutoHyphens/>
        <w:contextualSpacing/>
        <w:jc w:val="both"/>
        <w:rPr>
          <w:i/>
        </w:rPr>
      </w:pPr>
      <w:r w:rsidRPr="00B84CBC">
        <w:rPr>
          <w:i/>
        </w:rPr>
        <w:t xml:space="preserve">- </w:t>
      </w:r>
      <w:r w:rsidR="006039EB" w:rsidRPr="00B84CBC">
        <w:rPr>
          <w:i/>
        </w:rPr>
        <w:t>крупных и средних предприятий  и некоммерческих организаций</w:t>
      </w:r>
      <w:r w:rsidR="00490232" w:rsidRPr="00B84CBC">
        <w:rPr>
          <w:i/>
        </w:rPr>
        <w:t>,</w:t>
      </w:r>
    </w:p>
    <w:p w:rsidR="00490232" w:rsidRPr="00B84CBC" w:rsidRDefault="00490232" w:rsidP="00B66BDD">
      <w:pPr>
        <w:keepNext/>
        <w:suppressLineNumbers/>
        <w:suppressAutoHyphens/>
        <w:contextualSpacing/>
        <w:jc w:val="both"/>
        <w:rPr>
          <w:i/>
        </w:rPr>
      </w:pPr>
      <w:r w:rsidRPr="00B84CBC">
        <w:rPr>
          <w:i/>
        </w:rPr>
        <w:t xml:space="preserve">- муниципальных дошкольных образовательных учреждений, </w:t>
      </w:r>
    </w:p>
    <w:p w:rsidR="00490232" w:rsidRPr="00B84CBC" w:rsidRDefault="00490232" w:rsidP="00B66BDD">
      <w:pPr>
        <w:keepNext/>
        <w:suppressLineNumbers/>
        <w:suppressAutoHyphens/>
        <w:contextualSpacing/>
        <w:jc w:val="both"/>
        <w:rPr>
          <w:i/>
        </w:rPr>
      </w:pPr>
      <w:r w:rsidRPr="00B84CBC">
        <w:rPr>
          <w:i/>
        </w:rPr>
        <w:t xml:space="preserve">- муниципальных образовательных учреждений, </w:t>
      </w:r>
    </w:p>
    <w:p w:rsidR="00263351" w:rsidRPr="00B84CBC" w:rsidRDefault="00490232" w:rsidP="00B66BDD">
      <w:pPr>
        <w:keepNext/>
        <w:suppressLineNumbers/>
        <w:suppressAutoHyphens/>
        <w:contextualSpacing/>
        <w:jc w:val="both"/>
        <w:rPr>
          <w:i/>
        </w:rPr>
      </w:pPr>
      <w:r w:rsidRPr="00B84CBC">
        <w:rPr>
          <w:i/>
        </w:rPr>
        <w:lastRenderedPageBreak/>
        <w:t>- учителей муниципальн</w:t>
      </w:r>
      <w:r w:rsidR="00263351" w:rsidRPr="00B84CBC">
        <w:rPr>
          <w:i/>
        </w:rPr>
        <w:t xml:space="preserve">ых образовательных учреждений, </w:t>
      </w:r>
    </w:p>
    <w:p w:rsidR="00490232" w:rsidRPr="00B84CBC" w:rsidRDefault="00263351" w:rsidP="00B66BDD">
      <w:pPr>
        <w:keepNext/>
        <w:suppressLineNumbers/>
        <w:suppressAutoHyphens/>
        <w:contextualSpacing/>
        <w:jc w:val="both"/>
        <w:rPr>
          <w:i/>
        </w:rPr>
      </w:pPr>
      <w:r w:rsidRPr="00B84CBC">
        <w:rPr>
          <w:i/>
        </w:rPr>
        <w:t xml:space="preserve">- </w:t>
      </w:r>
      <w:r w:rsidR="00490232" w:rsidRPr="00B84CBC">
        <w:rPr>
          <w:rFonts w:eastAsia="Calibri"/>
          <w:i/>
          <w:iCs/>
        </w:rPr>
        <w:t>муниципальных учреждений культуры и искусства</w:t>
      </w:r>
    </w:p>
    <w:p w:rsidR="00490232" w:rsidRPr="00B84CBC" w:rsidRDefault="00490232" w:rsidP="00B66BDD">
      <w:pPr>
        <w:keepNext/>
        <w:suppressLineNumbers/>
        <w:suppressAutoHyphens/>
        <w:contextualSpacing/>
        <w:jc w:val="both"/>
      </w:pPr>
      <w:r w:rsidRPr="00B84CBC">
        <w:rPr>
          <w:i/>
        </w:rPr>
        <w:t>- муниципальных учреждений физической культуры и спор</w:t>
      </w:r>
      <w:r w:rsidR="00263351" w:rsidRPr="00B84CBC">
        <w:rPr>
          <w:i/>
        </w:rPr>
        <w:t>та».</w:t>
      </w:r>
    </w:p>
    <w:tbl>
      <w:tblPr>
        <w:tblW w:w="9718" w:type="dxa"/>
        <w:tblInd w:w="250" w:type="dxa"/>
        <w:tblLayout w:type="fixed"/>
        <w:tblLook w:val="04A0"/>
      </w:tblPr>
      <w:tblGrid>
        <w:gridCol w:w="506"/>
        <w:gridCol w:w="2329"/>
        <w:gridCol w:w="850"/>
        <w:gridCol w:w="986"/>
        <w:gridCol w:w="1022"/>
        <w:gridCol w:w="993"/>
        <w:gridCol w:w="994"/>
        <w:gridCol w:w="1046"/>
        <w:gridCol w:w="992"/>
      </w:tblGrid>
      <w:tr w:rsidR="008C566C" w:rsidRPr="00B84CBC" w:rsidTr="00E80A78">
        <w:trPr>
          <w:trHeight w:val="20"/>
          <w:tblHeader/>
        </w:trPr>
        <w:tc>
          <w:tcPr>
            <w:tcW w:w="5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 п/п</w:t>
            </w:r>
          </w:p>
        </w:tc>
        <w:tc>
          <w:tcPr>
            <w:tcW w:w="23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Наименование показателей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Ед. изм.</w:t>
            </w:r>
          </w:p>
        </w:tc>
        <w:tc>
          <w:tcPr>
            <w:tcW w:w="6033" w:type="dxa"/>
            <w:gridSpan w:val="6"/>
            <w:tcBorders>
              <w:top w:val="single" w:sz="4" w:space="0" w:color="auto"/>
              <w:left w:val="single" w:sz="4" w:space="0" w:color="auto"/>
              <w:bottom w:val="single" w:sz="4" w:space="0" w:color="auto"/>
              <w:right w:val="single" w:sz="4" w:space="0" w:color="auto"/>
            </w:tcBorders>
            <w:vAlign w:val="center"/>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Отчетная информация</w:t>
            </w:r>
          </w:p>
        </w:tc>
      </w:tr>
      <w:tr w:rsidR="008C566C" w:rsidRPr="00B84CBC" w:rsidTr="00E80A78">
        <w:trPr>
          <w:trHeight w:val="20"/>
          <w:tblHeader/>
        </w:trPr>
        <w:tc>
          <w:tcPr>
            <w:tcW w:w="506" w:type="dxa"/>
            <w:vMerge/>
            <w:tcBorders>
              <w:top w:val="single" w:sz="4" w:space="0" w:color="auto"/>
              <w:left w:val="single" w:sz="4" w:space="0" w:color="auto"/>
              <w:bottom w:val="single" w:sz="4" w:space="0" w:color="000000"/>
              <w:right w:val="single" w:sz="4" w:space="0" w:color="auto"/>
            </w:tcBorders>
            <w:vAlign w:val="center"/>
            <w:hideMark/>
          </w:tcPr>
          <w:p w:rsidR="008C566C" w:rsidRPr="00B84CBC" w:rsidRDefault="008C566C" w:rsidP="00B66BDD">
            <w:pPr>
              <w:keepNext/>
              <w:suppressLineNumbers/>
              <w:suppressAutoHyphens/>
              <w:contextualSpacing/>
              <w:jc w:val="center"/>
              <w:rPr>
                <w:iCs/>
                <w:color w:val="000000"/>
                <w:sz w:val="20"/>
                <w:szCs w:val="20"/>
              </w:rPr>
            </w:pPr>
          </w:p>
        </w:tc>
        <w:tc>
          <w:tcPr>
            <w:tcW w:w="2329" w:type="dxa"/>
            <w:vMerge/>
            <w:tcBorders>
              <w:top w:val="single" w:sz="4" w:space="0" w:color="auto"/>
              <w:left w:val="single" w:sz="4" w:space="0" w:color="auto"/>
              <w:bottom w:val="single" w:sz="4" w:space="0" w:color="000000"/>
              <w:right w:val="single" w:sz="4" w:space="0" w:color="auto"/>
            </w:tcBorders>
            <w:vAlign w:val="center"/>
            <w:hideMark/>
          </w:tcPr>
          <w:p w:rsidR="008C566C" w:rsidRPr="00B84CBC" w:rsidRDefault="008C566C" w:rsidP="00B66BDD">
            <w:pPr>
              <w:keepNext/>
              <w:suppressLineNumbers/>
              <w:suppressAutoHyphens/>
              <w:contextualSpacing/>
              <w:jc w:val="center"/>
              <w:rPr>
                <w:iCs/>
                <w:color w:val="00000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8C566C" w:rsidRPr="00B84CBC" w:rsidRDefault="008C566C" w:rsidP="00B66BDD">
            <w:pPr>
              <w:keepNext/>
              <w:suppressLineNumbers/>
              <w:suppressAutoHyphens/>
              <w:contextualSpacing/>
              <w:jc w:val="center"/>
              <w:rPr>
                <w:iCs/>
                <w:color w:val="000000"/>
                <w:sz w:val="20"/>
                <w:szCs w:val="20"/>
              </w:rPr>
            </w:pPr>
          </w:p>
        </w:tc>
        <w:tc>
          <w:tcPr>
            <w:tcW w:w="986" w:type="dxa"/>
            <w:tcBorders>
              <w:top w:val="nil"/>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факт 2017 г.</w:t>
            </w:r>
          </w:p>
        </w:tc>
        <w:tc>
          <w:tcPr>
            <w:tcW w:w="1022" w:type="dxa"/>
            <w:tcBorders>
              <w:top w:val="nil"/>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факт 2018 г.</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план  2019 г.</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план</w:t>
            </w:r>
          </w:p>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2020 г.</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план</w:t>
            </w:r>
          </w:p>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2021 г.</w:t>
            </w:r>
          </w:p>
        </w:tc>
        <w:tc>
          <w:tcPr>
            <w:tcW w:w="992" w:type="dxa"/>
            <w:tcBorders>
              <w:top w:val="single" w:sz="4" w:space="0" w:color="auto"/>
              <w:left w:val="nil"/>
              <w:bottom w:val="single" w:sz="4" w:space="0" w:color="auto"/>
              <w:right w:val="single" w:sz="4" w:space="0" w:color="auto"/>
            </w:tcBorders>
            <w:vAlign w:val="center"/>
          </w:tcPr>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план</w:t>
            </w:r>
          </w:p>
          <w:p w:rsidR="008C566C" w:rsidRPr="00B84CBC" w:rsidRDefault="008C566C" w:rsidP="00B66BDD">
            <w:pPr>
              <w:keepNext/>
              <w:suppressLineNumbers/>
              <w:suppressAutoHyphens/>
              <w:contextualSpacing/>
              <w:jc w:val="center"/>
              <w:rPr>
                <w:iCs/>
                <w:color w:val="000000"/>
                <w:sz w:val="20"/>
                <w:szCs w:val="20"/>
              </w:rPr>
            </w:pPr>
            <w:r w:rsidRPr="00B84CBC">
              <w:rPr>
                <w:iCs/>
                <w:color w:val="000000"/>
                <w:sz w:val="20"/>
                <w:szCs w:val="20"/>
              </w:rPr>
              <w:t>2022 г.</w:t>
            </w:r>
          </w:p>
        </w:tc>
      </w:tr>
      <w:tr w:rsidR="008C566C" w:rsidRPr="00B84CBC" w:rsidTr="00E80A78">
        <w:trPr>
          <w:trHeight w:val="20"/>
        </w:trPr>
        <w:tc>
          <w:tcPr>
            <w:tcW w:w="506" w:type="dxa"/>
            <w:vMerge w:val="restart"/>
            <w:tcBorders>
              <w:top w:val="nil"/>
              <w:left w:val="single" w:sz="4" w:space="0" w:color="auto"/>
              <w:bottom w:val="nil"/>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8.</w:t>
            </w:r>
          </w:p>
        </w:tc>
        <w:tc>
          <w:tcPr>
            <w:tcW w:w="3179" w:type="dxa"/>
            <w:gridSpan w:val="2"/>
            <w:tcBorders>
              <w:top w:val="nil"/>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rPr>
                <w:color w:val="000000"/>
                <w:sz w:val="20"/>
                <w:szCs w:val="20"/>
              </w:rPr>
            </w:pPr>
            <w:r w:rsidRPr="00B84CBC">
              <w:rPr>
                <w:color w:val="000000"/>
                <w:sz w:val="20"/>
                <w:szCs w:val="20"/>
              </w:rPr>
              <w:t>Среднемесячная номинальная начисленная заработная плата работников:</w:t>
            </w:r>
          </w:p>
        </w:tc>
        <w:tc>
          <w:tcPr>
            <w:tcW w:w="986"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1022"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994"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1046"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992" w:type="dxa"/>
            <w:tcBorders>
              <w:top w:val="nil"/>
              <w:left w:val="nil"/>
              <w:bottom w:val="single" w:sz="4" w:space="0" w:color="auto"/>
              <w:right w:val="single" w:sz="4" w:space="0" w:color="auto"/>
            </w:tcBorders>
            <w:vAlign w:val="center"/>
          </w:tcPr>
          <w:p w:rsidR="008C566C" w:rsidRPr="00B84CBC" w:rsidRDefault="008C566C" w:rsidP="00B66BDD">
            <w:pPr>
              <w:keepNext/>
              <w:suppressLineNumbers/>
              <w:suppressAutoHyphens/>
              <w:contextualSpacing/>
              <w:jc w:val="center"/>
              <w:rPr>
                <w:color w:val="000000"/>
                <w:sz w:val="20"/>
                <w:szCs w:val="20"/>
              </w:rPr>
            </w:pPr>
          </w:p>
        </w:tc>
      </w:tr>
      <w:tr w:rsidR="008C566C" w:rsidRPr="00B84CBC" w:rsidTr="00E80A78">
        <w:trPr>
          <w:trHeight w:val="20"/>
        </w:trPr>
        <w:tc>
          <w:tcPr>
            <w:tcW w:w="506" w:type="dxa"/>
            <w:vMerge/>
            <w:tcBorders>
              <w:top w:val="nil"/>
              <w:left w:val="single" w:sz="4" w:space="0" w:color="auto"/>
              <w:bottom w:val="single" w:sz="4" w:space="0" w:color="auto"/>
              <w:right w:val="single" w:sz="4" w:space="0" w:color="auto"/>
            </w:tcBorders>
            <w:vAlign w:val="center"/>
            <w:hideMark/>
          </w:tcPr>
          <w:p w:rsidR="008C566C" w:rsidRPr="00B84CBC" w:rsidRDefault="008C566C" w:rsidP="00B66BDD">
            <w:pPr>
              <w:keepNext/>
              <w:suppressLineNumbers/>
              <w:suppressAutoHyphens/>
              <w:contextualSpacing/>
              <w:jc w:val="center"/>
              <w:rPr>
                <w:color w:val="000000"/>
                <w:sz w:val="20"/>
                <w:szCs w:val="20"/>
              </w:rPr>
            </w:pPr>
          </w:p>
        </w:tc>
        <w:tc>
          <w:tcPr>
            <w:tcW w:w="2329" w:type="dxa"/>
            <w:tcBorders>
              <w:top w:val="nil"/>
              <w:left w:val="nil"/>
              <w:bottom w:val="single" w:sz="4" w:space="0" w:color="auto"/>
              <w:right w:val="single" w:sz="4" w:space="0" w:color="auto"/>
            </w:tcBorders>
            <w:shd w:val="clear" w:color="auto" w:fill="auto"/>
            <w:vAlign w:val="center"/>
            <w:hideMark/>
          </w:tcPr>
          <w:p w:rsidR="008C566C" w:rsidRPr="00B84CBC" w:rsidRDefault="008C566C" w:rsidP="00B66BDD">
            <w:pPr>
              <w:keepNext/>
              <w:suppressLineNumbers/>
              <w:suppressAutoHyphens/>
              <w:contextualSpacing/>
              <w:rPr>
                <w:color w:val="000000"/>
                <w:sz w:val="20"/>
                <w:szCs w:val="20"/>
              </w:rPr>
            </w:pPr>
            <w:r w:rsidRPr="00B84CBC">
              <w:rPr>
                <w:color w:val="000000"/>
                <w:sz w:val="20"/>
                <w:szCs w:val="20"/>
              </w:rPr>
              <w:t>крупных и средних предприятий и некоммерческих организаций</w:t>
            </w:r>
          </w:p>
        </w:tc>
        <w:tc>
          <w:tcPr>
            <w:tcW w:w="850"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рублей</w:t>
            </w:r>
          </w:p>
        </w:tc>
        <w:tc>
          <w:tcPr>
            <w:tcW w:w="986"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42 699,3</w:t>
            </w:r>
          </w:p>
        </w:tc>
        <w:tc>
          <w:tcPr>
            <w:tcW w:w="1022"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45 267,9</w:t>
            </w:r>
          </w:p>
        </w:tc>
        <w:tc>
          <w:tcPr>
            <w:tcW w:w="993"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48 829,2</w:t>
            </w:r>
          </w:p>
        </w:tc>
        <w:tc>
          <w:tcPr>
            <w:tcW w:w="994"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50 537,2</w:t>
            </w:r>
          </w:p>
        </w:tc>
        <w:tc>
          <w:tcPr>
            <w:tcW w:w="1046" w:type="dxa"/>
            <w:tcBorders>
              <w:top w:val="nil"/>
              <w:left w:val="nil"/>
              <w:bottom w:val="single" w:sz="4" w:space="0" w:color="auto"/>
              <w:right w:val="single" w:sz="4" w:space="0" w:color="auto"/>
            </w:tcBorders>
            <w:shd w:val="clear" w:color="auto" w:fill="auto"/>
            <w:noWrap/>
            <w:vAlign w:val="center"/>
            <w:hideMark/>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52 558,7</w:t>
            </w:r>
          </w:p>
        </w:tc>
        <w:tc>
          <w:tcPr>
            <w:tcW w:w="992" w:type="dxa"/>
            <w:tcBorders>
              <w:top w:val="nil"/>
              <w:left w:val="nil"/>
              <w:bottom w:val="single" w:sz="4" w:space="0" w:color="auto"/>
              <w:right w:val="single" w:sz="4" w:space="0" w:color="auto"/>
            </w:tcBorders>
            <w:vAlign w:val="center"/>
          </w:tcPr>
          <w:p w:rsidR="008C566C" w:rsidRPr="00B84CBC" w:rsidRDefault="008C566C" w:rsidP="00B66BDD">
            <w:pPr>
              <w:keepNext/>
              <w:suppressLineNumbers/>
              <w:suppressAutoHyphens/>
              <w:contextualSpacing/>
              <w:jc w:val="center"/>
              <w:rPr>
                <w:color w:val="000000"/>
                <w:sz w:val="20"/>
                <w:szCs w:val="20"/>
              </w:rPr>
            </w:pPr>
            <w:r w:rsidRPr="00B84CBC">
              <w:rPr>
                <w:color w:val="000000"/>
                <w:sz w:val="20"/>
                <w:szCs w:val="20"/>
              </w:rPr>
              <w:t>54 661,1</w:t>
            </w:r>
          </w:p>
        </w:tc>
      </w:tr>
    </w:tbl>
    <w:p w:rsidR="008C566C" w:rsidRPr="00B84CBC" w:rsidRDefault="008C566C" w:rsidP="00B66BDD">
      <w:pPr>
        <w:keepNext/>
        <w:suppressLineNumbers/>
        <w:tabs>
          <w:tab w:val="num" w:pos="0"/>
        </w:tabs>
        <w:suppressAutoHyphens/>
        <w:ind w:firstLine="709"/>
        <w:contextualSpacing/>
        <w:jc w:val="both"/>
        <w:rPr>
          <w:color w:val="000000"/>
          <w:sz w:val="10"/>
          <w:szCs w:val="10"/>
        </w:rPr>
      </w:pPr>
    </w:p>
    <w:p w:rsidR="008C566C" w:rsidRPr="00B84CBC" w:rsidRDefault="008C566C" w:rsidP="00B66BDD">
      <w:pPr>
        <w:keepNext/>
        <w:suppressLineNumbers/>
        <w:suppressAutoHyphens/>
        <w:ind w:firstLine="709"/>
        <w:contextualSpacing/>
        <w:jc w:val="both"/>
      </w:pPr>
      <w:r w:rsidRPr="00B84CBC">
        <w:t>Динамика размеров начисленной среднемесячной заработной платы работников крупных и средних предприятий и некоммерческих организаций МО г.Саяногорск напрямую зависит от влияния внутренних и внешних факторов на деятельность предприятий и организаций МО г.Саяногорск (за 2017-2019 гг. по сведениям Красноярскстата, на 2020-2022 гг. плановые величины).</w:t>
      </w:r>
    </w:p>
    <w:p w:rsidR="008C566C" w:rsidRPr="00B84CBC" w:rsidRDefault="008C566C" w:rsidP="00B66BDD">
      <w:pPr>
        <w:keepNext/>
        <w:suppressLineNumbers/>
        <w:suppressAutoHyphens/>
        <w:ind w:firstLine="709"/>
        <w:contextualSpacing/>
        <w:jc w:val="both"/>
      </w:pPr>
      <w:r w:rsidRPr="00B84CBC">
        <w:t>За 2019 год значение показателя составило 48 829,2 руб. на 1 чел. в месяц и в сравнении с прошлым годом увеличилось на 3 560,3 руб. на 1 чел. в месяц (на 7,9%).</w:t>
      </w:r>
    </w:p>
    <w:p w:rsidR="009542AD" w:rsidRPr="00B84CBC" w:rsidRDefault="009542AD" w:rsidP="00B66BDD">
      <w:pPr>
        <w:keepNext/>
        <w:suppressLineNumbers/>
        <w:suppressAutoHyphens/>
        <w:ind w:firstLine="709"/>
        <w:contextualSpacing/>
        <w:jc w:val="both"/>
      </w:pPr>
    </w:p>
    <w:p w:rsidR="005F3C70" w:rsidRPr="00B84CBC" w:rsidRDefault="006039EB" w:rsidP="00B66BDD">
      <w:pPr>
        <w:keepNext/>
        <w:suppressLineNumbers/>
        <w:suppressAutoHyphens/>
        <w:contextualSpacing/>
        <w:jc w:val="both"/>
        <w:rPr>
          <w:u w:val="single"/>
        </w:rPr>
      </w:pPr>
      <w:r w:rsidRPr="00B84CBC">
        <w:rPr>
          <w:u w:val="single"/>
        </w:rPr>
        <w:t>Г</w:t>
      </w:r>
      <w:r w:rsidR="008E0812" w:rsidRPr="00B84CBC">
        <w:rPr>
          <w:u w:val="single"/>
        </w:rPr>
        <w:t>ородской отдел образования г.Саяногорска</w:t>
      </w:r>
      <w:r w:rsidRPr="00B84CBC">
        <w:rPr>
          <w:u w:val="single"/>
        </w:rPr>
        <w:t xml:space="preserve">: </w:t>
      </w:r>
    </w:p>
    <w:p w:rsidR="00E310D7" w:rsidRPr="00B84CBC" w:rsidRDefault="0032030B" w:rsidP="00B66BDD">
      <w:pPr>
        <w:keepNext/>
        <w:suppressLineNumbers/>
        <w:suppressAutoHyphens/>
        <w:ind w:firstLine="709"/>
        <w:contextualSpacing/>
        <w:jc w:val="both"/>
      </w:pPr>
      <w:r w:rsidRPr="00B84CBC">
        <w:t xml:space="preserve">-  </w:t>
      </w:r>
      <w:r w:rsidR="009E2CBD" w:rsidRPr="00B84CBC">
        <w:t>з</w:t>
      </w:r>
      <w:r w:rsidR="00A163D3" w:rsidRPr="00B84CBC">
        <w:t xml:space="preserve">а 2019 год </w:t>
      </w:r>
      <w:r w:rsidR="008E0812" w:rsidRPr="00B84CBC">
        <w:t xml:space="preserve">среднемесячная номинальная начисленная заработная плата работников </w:t>
      </w:r>
      <w:r w:rsidR="008E0812" w:rsidRPr="00B84CBC">
        <w:rPr>
          <w:i/>
        </w:rPr>
        <w:t>муниципальных дошкольных образовательных учреждений</w:t>
      </w:r>
      <w:r w:rsidR="008E0812" w:rsidRPr="00B84CBC">
        <w:t xml:space="preserve"> МО</w:t>
      </w:r>
      <w:r w:rsidRPr="00B84CBC">
        <w:t xml:space="preserve"> </w:t>
      </w:r>
      <w:r w:rsidR="009E2CBD" w:rsidRPr="00B84CBC">
        <w:t xml:space="preserve">г.Саяногорск </w:t>
      </w:r>
      <w:r w:rsidRPr="00B84CBC">
        <w:t>по сравнению с АППГ</w:t>
      </w:r>
      <w:r w:rsidR="00A82667" w:rsidRPr="00B84CBC">
        <w:rPr>
          <w:sz w:val="25"/>
          <w:szCs w:val="25"/>
        </w:rPr>
        <w:t xml:space="preserve"> </w:t>
      </w:r>
      <w:r w:rsidR="00B02D15" w:rsidRPr="00B84CBC">
        <w:rPr>
          <w:sz w:val="25"/>
          <w:szCs w:val="25"/>
        </w:rPr>
        <w:t>снизилас</w:t>
      </w:r>
      <w:r w:rsidRPr="00B84CBC">
        <w:rPr>
          <w:sz w:val="25"/>
          <w:szCs w:val="25"/>
        </w:rPr>
        <w:t xml:space="preserve">ь на </w:t>
      </w:r>
      <w:r w:rsidR="00B02D15" w:rsidRPr="00B84CBC">
        <w:rPr>
          <w:sz w:val="25"/>
          <w:szCs w:val="25"/>
        </w:rPr>
        <w:t xml:space="preserve">2,2 </w:t>
      </w:r>
      <w:r w:rsidRPr="00B84CBC">
        <w:rPr>
          <w:sz w:val="25"/>
          <w:szCs w:val="25"/>
        </w:rPr>
        <w:t xml:space="preserve">% и </w:t>
      </w:r>
      <w:r w:rsidR="00A82667" w:rsidRPr="00B84CBC">
        <w:rPr>
          <w:sz w:val="25"/>
          <w:szCs w:val="25"/>
        </w:rPr>
        <w:t xml:space="preserve">составила </w:t>
      </w:r>
      <w:r w:rsidR="00B02D15" w:rsidRPr="00B84CBC">
        <w:rPr>
          <w:sz w:val="25"/>
          <w:szCs w:val="25"/>
        </w:rPr>
        <w:t xml:space="preserve">25041,6 </w:t>
      </w:r>
      <w:r w:rsidR="00A82667" w:rsidRPr="00B84CBC">
        <w:rPr>
          <w:sz w:val="25"/>
          <w:szCs w:val="25"/>
        </w:rPr>
        <w:t xml:space="preserve"> руб. на 1 чел.</w:t>
      </w:r>
      <w:r w:rsidR="0036685A" w:rsidRPr="00B84CBC">
        <w:rPr>
          <w:sz w:val="25"/>
          <w:szCs w:val="25"/>
        </w:rPr>
        <w:t>, в</w:t>
      </w:r>
      <w:r w:rsidRPr="00B84CBC">
        <w:rPr>
          <w:sz w:val="25"/>
          <w:szCs w:val="25"/>
        </w:rPr>
        <w:t xml:space="preserve"> связи с оптимизацией штатной численности в количестве 18,695, в том числе за счет местного бюджета 11,675 штатных единиц</w:t>
      </w:r>
      <w:r w:rsidR="00E310D7" w:rsidRPr="00B84CBC">
        <w:t>;</w:t>
      </w:r>
    </w:p>
    <w:p w:rsidR="008E0812" w:rsidRPr="00B84CBC" w:rsidRDefault="00B02D15" w:rsidP="00B66BDD">
      <w:pPr>
        <w:keepNext/>
        <w:numPr>
          <w:ilvl w:val="0"/>
          <w:numId w:val="44"/>
        </w:numPr>
        <w:suppressLineNumbers/>
        <w:tabs>
          <w:tab w:val="left" w:pos="993"/>
        </w:tabs>
        <w:suppressAutoHyphens/>
        <w:ind w:left="0" w:firstLine="709"/>
        <w:contextualSpacing/>
        <w:jc w:val="both"/>
      </w:pPr>
      <w:r w:rsidRPr="00B84CBC">
        <w:t xml:space="preserve">за 2019 год </w:t>
      </w:r>
      <w:r w:rsidR="008E0812" w:rsidRPr="00B84CBC">
        <w:t xml:space="preserve">среднемесячная номинальная начисленная заработная плата работников </w:t>
      </w:r>
      <w:r w:rsidR="008E0812" w:rsidRPr="00B84CBC">
        <w:rPr>
          <w:i/>
        </w:rPr>
        <w:t>муниципальных образовательных учреждений</w:t>
      </w:r>
      <w:r w:rsidR="008E0812" w:rsidRPr="00B84CBC">
        <w:t xml:space="preserve"> МО г.Саяногорск </w:t>
      </w:r>
      <w:r w:rsidR="009E2CBD" w:rsidRPr="00B84CBC">
        <w:t>по сравнению с АППГ</w:t>
      </w:r>
      <w:r w:rsidRPr="00B84CBC">
        <w:rPr>
          <w:sz w:val="25"/>
          <w:szCs w:val="25"/>
        </w:rPr>
        <w:t xml:space="preserve"> увеличилась на 7</w:t>
      </w:r>
      <w:r w:rsidR="009E2CBD" w:rsidRPr="00B84CBC">
        <w:rPr>
          <w:sz w:val="25"/>
          <w:szCs w:val="25"/>
        </w:rPr>
        <w:t>% и составила составила 3</w:t>
      </w:r>
      <w:r w:rsidRPr="00B84CBC">
        <w:rPr>
          <w:sz w:val="25"/>
          <w:szCs w:val="25"/>
        </w:rPr>
        <w:t>0</w:t>
      </w:r>
      <w:r w:rsidR="009E2CBD" w:rsidRPr="00B84CBC">
        <w:rPr>
          <w:sz w:val="25"/>
          <w:szCs w:val="25"/>
        </w:rPr>
        <w:t> 9</w:t>
      </w:r>
      <w:r w:rsidRPr="00B84CBC">
        <w:rPr>
          <w:sz w:val="25"/>
          <w:szCs w:val="25"/>
        </w:rPr>
        <w:t>83</w:t>
      </w:r>
      <w:r w:rsidR="009E2CBD" w:rsidRPr="00B84CBC">
        <w:rPr>
          <w:sz w:val="25"/>
          <w:szCs w:val="25"/>
        </w:rPr>
        <w:t>,</w:t>
      </w:r>
      <w:r w:rsidRPr="00B84CBC">
        <w:rPr>
          <w:sz w:val="25"/>
          <w:szCs w:val="25"/>
        </w:rPr>
        <w:t>1</w:t>
      </w:r>
      <w:r w:rsidR="0088569A" w:rsidRPr="00B84CBC">
        <w:rPr>
          <w:sz w:val="25"/>
          <w:szCs w:val="25"/>
        </w:rPr>
        <w:t xml:space="preserve"> руб. в связи с оптимизации штатной численности</w:t>
      </w:r>
      <w:r w:rsidR="009E2CBD" w:rsidRPr="00B84CBC">
        <w:rPr>
          <w:sz w:val="25"/>
          <w:szCs w:val="25"/>
        </w:rPr>
        <w:t xml:space="preserve"> в количестве 7,5 штатных единиц,</w:t>
      </w:r>
      <w:r w:rsidR="0088569A" w:rsidRPr="00B84CBC">
        <w:rPr>
          <w:sz w:val="25"/>
          <w:szCs w:val="25"/>
        </w:rPr>
        <w:t xml:space="preserve"> увеличением количества учащихся</w:t>
      </w:r>
      <w:r w:rsidRPr="00B84CBC">
        <w:rPr>
          <w:sz w:val="25"/>
          <w:szCs w:val="25"/>
        </w:rPr>
        <w:t xml:space="preserve"> на 137 человек</w:t>
      </w:r>
      <w:r w:rsidR="00CB2A0F" w:rsidRPr="00B84CBC">
        <w:t>;</w:t>
      </w:r>
    </w:p>
    <w:p w:rsidR="009542AD" w:rsidRPr="00B84CBC" w:rsidRDefault="009E2CBD" w:rsidP="00B66BDD">
      <w:pPr>
        <w:keepNext/>
        <w:numPr>
          <w:ilvl w:val="0"/>
          <w:numId w:val="44"/>
        </w:numPr>
        <w:suppressLineNumbers/>
        <w:tabs>
          <w:tab w:val="left" w:pos="993"/>
        </w:tabs>
        <w:suppressAutoHyphens/>
        <w:ind w:left="0" w:firstLine="709"/>
        <w:contextualSpacing/>
        <w:jc w:val="both"/>
      </w:pPr>
      <w:r w:rsidRPr="00B84CBC">
        <w:t>з</w:t>
      </w:r>
      <w:r w:rsidR="00A163D3" w:rsidRPr="00B84CBC">
        <w:t xml:space="preserve">а </w:t>
      </w:r>
      <w:r w:rsidR="00B02D15" w:rsidRPr="00B84CBC">
        <w:t xml:space="preserve">2019 год </w:t>
      </w:r>
      <w:r w:rsidR="00CB2A0F" w:rsidRPr="00B84CBC">
        <w:t xml:space="preserve">среднемесячная номинальная начисленная заработная плата </w:t>
      </w:r>
      <w:r w:rsidR="00CB2A0F" w:rsidRPr="00B84CBC">
        <w:rPr>
          <w:i/>
        </w:rPr>
        <w:t>учителей муниципальных образовательных</w:t>
      </w:r>
      <w:r w:rsidR="00CB2A0F" w:rsidRPr="00B84CBC">
        <w:t xml:space="preserve"> учреждений МО г.Саяногорск </w:t>
      </w:r>
      <w:r w:rsidRPr="00B84CBC">
        <w:t>по сравнению с АППГ</w:t>
      </w:r>
      <w:r w:rsidRPr="00B84CBC">
        <w:rPr>
          <w:sz w:val="25"/>
          <w:szCs w:val="25"/>
        </w:rPr>
        <w:t xml:space="preserve"> увеличилась на 7,0% и составила 3</w:t>
      </w:r>
      <w:r w:rsidR="00702837" w:rsidRPr="00B84CBC">
        <w:rPr>
          <w:sz w:val="25"/>
          <w:szCs w:val="25"/>
        </w:rPr>
        <w:t>4</w:t>
      </w:r>
      <w:r w:rsidRPr="00B84CBC">
        <w:rPr>
          <w:sz w:val="25"/>
          <w:szCs w:val="25"/>
        </w:rPr>
        <w:t> </w:t>
      </w:r>
      <w:r w:rsidR="00702837" w:rsidRPr="00B84CBC">
        <w:rPr>
          <w:sz w:val="25"/>
          <w:szCs w:val="25"/>
        </w:rPr>
        <w:t>411</w:t>
      </w:r>
      <w:r w:rsidRPr="00B84CBC">
        <w:rPr>
          <w:sz w:val="25"/>
          <w:szCs w:val="25"/>
        </w:rPr>
        <w:t>,</w:t>
      </w:r>
      <w:r w:rsidR="00702837" w:rsidRPr="00B84CBC">
        <w:rPr>
          <w:sz w:val="25"/>
          <w:szCs w:val="25"/>
        </w:rPr>
        <w:t>3</w:t>
      </w:r>
      <w:r w:rsidRPr="00B84CBC">
        <w:rPr>
          <w:sz w:val="25"/>
          <w:szCs w:val="25"/>
        </w:rPr>
        <w:t xml:space="preserve"> руб.</w:t>
      </w:r>
    </w:p>
    <w:p w:rsidR="009542AD" w:rsidRPr="00B84CBC" w:rsidRDefault="009542AD" w:rsidP="009542AD">
      <w:pPr>
        <w:keepNext/>
        <w:suppressLineNumbers/>
        <w:tabs>
          <w:tab w:val="left" w:pos="993"/>
        </w:tabs>
        <w:suppressAutoHyphens/>
        <w:ind w:left="709"/>
        <w:contextualSpacing/>
        <w:jc w:val="both"/>
      </w:pPr>
    </w:p>
    <w:p w:rsidR="004D3789" w:rsidRPr="00B84CBC" w:rsidRDefault="004D3789" w:rsidP="00B66BDD">
      <w:pPr>
        <w:keepNext/>
        <w:suppressLineNumbers/>
        <w:suppressAutoHyphens/>
        <w:contextualSpacing/>
        <w:jc w:val="both"/>
      </w:pPr>
      <w:r w:rsidRPr="00B84CBC">
        <w:rPr>
          <w:u w:val="single"/>
        </w:rPr>
        <w:t>МАУ Городские спортивные сооружения</w:t>
      </w:r>
      <w:r w:rsidR="00140924" w:rsidRPr="00B84CBC">
        <w:rPr>
          <w:u w:val="single"/>
        </w:rPr>
        <w:t xml:space="preserve"> г.</w:t>
      </w:r>
      <w:r w:rsidRPr="00B84CBC">
        <w:rPr>
          <w:u w:val="single"/>
        </w:rPr>
        <w:t xml:space="preserve">Саяногорска: </w:t>
      </w:r>
    </w:p>
    <w:p w:rsidR="00CB2A0F" w:rsidRPr="00B84CBC" w:rsidRDefault="00E36816" w:rsidP="00B66BDD">
      <w:pPr>
        <w:keepNext/>
        <w:numPr>
          <w:ilvl w:val="0"/>
          <w:numId w:val="44"/>
        </w:numPr>
        <w:suppressLineNumbers/>
        <w:tabs>
          <w:tab w:val="left" w:pos="993"/>
        </w:tabs>
        <w:suppressAutoHyphens/>
        <w:ind w:left="0" w:firstLine="709"/>
        <w:contextualSpacing/>
        <w:jc w:val="both"/>
      </w:pPr>
      <w:r w:rsidRPr="00B84CBC">
        <w:t>з</w:t>
      </w:r>
      <w:r w:rsidR="00A163D3" w:rsidRPr="00B84CBC">
        <w:t xml:space="preserve">а </w:t>
      </w:r>
      <w:r w:rsidR="00B76C51" w:rsidRPr="00B84CBC">
        <w:t xml:space="preserve">2019 год </w:t>
      </w:r>
      <w:r w:rsidR="00CB2A0F" w:rsidRPr="00B84CBC">
        <w:t xml:space="preserve">среднемесячная номинальная начисленная заработная плата работников </w:t>
      </w:r>
      <w:r w:rsidR="00CB2A0F" w:rsidRPr="00B84CBC">
        <w:rPr>
          <w:i/>
        </w:rPr>
        <w:t>муниципальных учреждений физической культуры и спорта</w:t>
      </w:r>
      <w:r w:rsidR="00CB2A0F" w:rsidRPr="00B84CBC">
        <w:t xml:space="preserve"> МО г.Саяногорск </w:t>
      </w:r>
      <w:r w:rsidR="0088569A" w:rsidRPr="00B84CBC">
        <w:t xml:space="preserve">составила </w:t>
      </w:r>
      <w:r w:rsidR="00AE000D" w:rsidRPr="00B84CBC">
        <w:t xml:space="preserve"> 22241,6</w:t>
      </w:r>
      <w:r w:rsidR="00DA5E34" w:rsidRPr="00B84CBC">
        <w:t xml:space="preserve"> </w:t>
      </w:r>
      <w:r w:rsidR="0088569A" w:rsidRPr="00B84CBC">
        <w:t xml:space="preserve">руб. и увеличилась </w:t>
      </w:r>
      <w:r w:rsidR="00DA5E34" w:rsidRPr="00B84CBC">
        <w:t xml:space="preserve">по сравнению с АППГ </w:t>
      </w:r>
      <w:r w:rsidR="0088569A" w:rsidRPr="00B84CBC">
        <w:t xml:space="preserve">на </w:t>
      </w:r>
      <w:r w:rsidR="00AE000D" w:rsidRPr="00B84CBC">
        <w:t>3 424,9</w:t>
      </w:r>
      <w:r w:rsidR="00DA5E34" w:rsidRPr="00B84CBC">
        <w:t xml:space="preserve"> руб. (1</w:t>
      </w:r>
      <w:r w:rsidR="00AE000D" w:rsidRPr="00B84CBC">
        <w:t>8,2</w:t>
      </w:r>
      <w:r w:rsidR="00DA5E34" w:rsidRPr="00B84CBC">
        <w:t>%)</w:t>
      </w:r>
      <w:r w:rsidR="0088569A" w:rsidRPr="00B84CBC">
        <w:t xml:space="preserve"> в связи с увеличением минимальной оплатой труда.</w:t>
      </w:r>
    </w:p>
    <w:p w:rsidR="009542AD" w:rsidRPr="00B84CBC" w:rsidRDefault="009542AD" w:rsidP="009542AD">
      <w:pPr>
        <w:keepNext/>
        <w:suppressLineNumbers/>
        <w:tabs>
          <w:tab w:val="left" w:pos="993"/>
        </w:tabs>
        <w:suppressAutoHyphens/>
        <w:ind w:left="709"/>
        <w:contextualSpacing/>
        <w:jc w:val="both"/>
      </w:pPr>
    </w:p>
    <w:p w:rsidR="006927F2" w:rsidRPr="00B84CBC" w:rsidRDefault="006039EB" w:rsidP="00B66BDD">
      <w:pPr>
        <w:keepNext/>
        <w:suppressLineNumbers/>
        <w:suppressAutoHyphens/>
        <w:contextualSpacing/>
        <w:jc w:val="both"/>
        <w:rPr>
          <w:u w:val="single"/>
        </w:rPr>
      </w:pPr>
      <w:r w:rsidRPr="00B84CBC">
        <w:rPr>
          <w:u w:val="single"/>
        </w:rPr>
        <w:t>С</w:t>
      </w:r>
      <w:r w:rsidR="00CB2A0F" w:rsidRPr="00B84CBC">
        <w:rPr>
          <w:u w:val="single"/>
        </w:rPr>
        <w:t>аяногорский городской отдел культуры</w:t>
      </w:r>
      <w:r w:rsidRPr="00B84CBC">
        <w:rPr>
          <w:u w:val="single"/>
        </w:rPr>
        <w:t xml:space="preserve">: </w:t>
      </w:r>
    </w:p>
    <w:p w:rsidR="00391CED" w:rsidRPr="00B84CBC" w:rsidRDefault="00391CED" w:rsidP="00B66BDD">
      <w:pPr>
        <w:keepNext/>
        <w:suppressLineNumbers/>
        <w:suppressAutoHyphens/>
        <w:ind w:firstLine="709"/>
        <w:contextualSpacing/>
        <w:jc w:val="both"/>
        <w:rPr>
          <w:color w:val="000000"/>
        </w:rPr>
      </w:pPr>
      <w:r w:rsidRPr="00B84CBC">
        <w:rPr>
          <w:color w:val="000000"/>
        </w:rPr>
        <w:t xml:space="preserve">За 2019 г. заработная плата работников списочного состава, а также выполняющих работы по договорам гражданско-правового характера увеличилась </w:t>
      </w:r>
      <w:r w:rsidR="003231A1" w:rsidRPr="00B84CBC">
        <w:rPr>
          <w:color w:val="000000"/>
        </w:rPr>
        <w:t>по сравнению с АППГ на 2 832,0 руб. (</w:t>
      </w:r>
      <w:r w:rsidRPr="00B84CBC">
        <w:rPr>
          <w:color w:val="000000"/>
        </w:rPr>
        <w:t>10,8%</w:t>
      </w:r>
      <w:r w:rsidR="003231A1" w:rsidRPr="00B84CBC">
        <w:rPr>
          <w:color w:val="000000"/>
        </w:rPr>
        <w:t>)</w:t>
      </w:r>
      <w:r w:rsidRPr="00B84CBC">
        <w:rPr>
          <w:color w:val="000000"/>
        </w:rPr>
        <w:t xml:space="preserve"> и составила 28 997,20 руб. Рост заработной платы связан с повышением окладов работникам культуры в 2018 году в связи с внесением изменений в Постановление Президиума Правительства Республики Хакасия от 20.05.2016 №53-п (изменения в штатные распи</w:t>
      </w:r>
      <w:r w:rsidR="003231A1" w:rsidRPr="00B84CBC">
        <w:rPr>
          <w:color w:val="000000"/>
        </w:rPr>
        <w:t>сания были внесены с 01.02.2018</w:t>
      </w:r>
      <w:r w:rsidRPr="00B84CBC">
        <w:rPr>
          <w:color w:val="000000"/>
        </w:rPr>
        <w:t>). Также в 2019 году было проведено нормирование труда, в связи с чем были внесены изменения в штатные расписания в части должностей и окладов.</w:t>
      </w:r>
    </w:p>
    <w:p w:rsidR="008635A9" w:rsidRPr="00B84CBC" w:rsidRDefault="00391CED" w:rsidP="00B66BDD">
      <w:pPr>
        <w:keepNext/>
        <w:suppressLineNumbers/>
        <w:suppressAutoHyphens/>
        <w:ind w:firstLine="709"/>
        <w:contextualSpacing/>
        <w:jc w:val="both"/>
        <w:rPr>
          <w:color w:val="000000"/>
        </w:rPr>
      </w:pPr>
      <w:r w:rsidRPr="00B84CBC">
        <w:rPr>
          <w:color w:val="000000"/>
        </w:rPr>
        <w:t xml:space="preserve">Данные по заработной плате производятся в соответствии  с инструкцией РОССТАТа, при заполнении доклада показателей для оценки эффективности деятельности органов местного самоуправления городских округов и муниципальных районов, среднемесячная заработная плата исчисляется делением суммы фонда начисленной заработной платы </w:t>
      </w:r>
      <w:r w:rsidRPr="00B84CBC">
        <w:rPr>
          <w:color w:val="000000"/>
        </w:rPr>
        <w:lastRenderedPageBreak/>
        <w:t>работников списочного состава и внешних совместителей, фонда начисленной заработной платы по гражданско-правовым договорам и других работников не списочного состава на среднесписочную численность работников (без внешних совместителей и лиц, выполнявших работы по договорам гражданско-правового характера) и на количество месяцев в периоде.</w:t>
      </w:r>
    </w:p>
    <w:p w:rsidR="00E1147A" w:rsidRPr="00B84CBC" w:rsidRDefault="00E1147A" w:rsidP="00B66BDD">
      <w:pPr>
        <w:keepNext/>
        <w:suppressLineNumbers/>
        <w:suppressAutoHyphens/>
        <w:ind w:firstLine="709"/>
        <w:contextualSpacing/>
        <w:jc w:val="both"/>
        <w:rPr>
          <w:color w:val="000000"/>
          <w:sz w:val="10"/>
          <w:szCs w:val="10"/>
        </w:rPr>
      </w:pPr>
    </w:p>
    <w:p w:rsidR="006039EB" w:rsidRPr="00B84CBC" w:rsidRDefault="006039EB" w:rsidP="00B66BDD">
      <w:pPr>
        <w:pStyle w:val="af7"/>
        <w:keepNext/>
        <w:suppressLineNumbers/>
        <w:suppressAutoHyphens/>
        <w:contextualSpacing/>
        <w:jc w:val="both"/>
        <w:rPr>
          <w:rFonts w:ascii="Times New Roman" w:eastAsia="Times New Roman" w:hAnsi="Times New Roman"/>
          <w:i/>
          <w:sz w:val="24"/>
          <w:szCs w:val="24"/>
          <w:lang w:eastAsia="ru-RU"/>
        </w:rPr>
      </w:pPr>
      <w:r w:rsidRPr="00B84CBC">
        <w:rPr>
          <w:rFonts w:ascii="Times New Roman" w:eastAsia="Times New Roman" w:hAnsi="Times New Roman"/>
          <w:b/>
          <w:i/>
          <w:sz w:val="24"/>
          <w:szCs w:val="24"/>
          <w:lang w:eastAsia="ru-RU"/>
        </w:rPr>
        <w:t>Показатель №9</w:t>
      </w:r>
      <w:r w:rsidRPr="00B84CBC">
        <w:rPr>
          <w:rFonts w:ascii="Times New Roman" w:eastAsia="Times New Roman" w:hAnsi="Times New Roman"/>
          <w:i/>
          <w:sz w:val="24"/>
          <w:szCs w:val="24"/>
          <w:lang w:eastAsia="ru-RU"/>
        </w:rPr>
        <w:t xml:space="preserve">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800549" w:rsidRPr="00B84CBC" w:rsidRDefault="00800549" w:rsidP="00B66BDD">
      <w:pPr>
        <w:keepNext/>
        <w:suppressLineNumbers/>
        <w:suppressAutoHyphens/>
        <w:ind w:firstLine="709"/>
        <w:contextualSpacing/>
        <w:jc w:val="both"/>
        <w:rPr>
          <w:color w:val="000000"/>
        </w:rPr>
      </w:pPr>
      <w:r w:rsidRPr="00B84CBC">
        <w:rPr>
          <w:color w:val="000000"/>
        </w:rPr>
        <w:t xml:space="preserve">Данный показатель рассчитан на основании данных учета детей, подлежащих обучению в муниципальных образовательных организациях МО г. Саяногорск, реализующих образовательные программы дошкольного, начального общего, основного общего и среднего общего образования (в соответствии с постановлением Главы МО г.Саяногорск </w:t>
      </w:r>
      <w:r w:rsidR="009542AD" w:rsidRPr="00B84CBC">
        <w:rPr>
          <w:color w:val="000000"/>
        </w:rPr>
        <w:t xml:space="preserve">от 21.01.2015 </w:t>
      </w:r>
      <w:r w:rsidRPr="00B84CBC">
        <w:rPr>
          <w:color w:val="000000"/>
        </w:rPr>
        <w:t>№ 31 с последующими дополнениями) и банка данных детей, посещающих дошкольные образовательные учреждения муниципального образования г. Саяногорск в группах полного дня и в группах кратковременного пребывания в электронной системе учета «Электронный детский сад».</w:t>
      </w:r>
    </w:p>
    <w:p w:rsidR="00800549" w:rsidRPr="00B84CBC" w:rsidRDefault="00800549" w:rsidP="00B66BDD">
      <w:pPr>
        <w:keepNext/>
        <w:suppressLineNumbers/>
        <w:suppressAutoHyphens/>
        <w:ind w:firstLine="709"/>
        <w:contextualSpacing/>
        <w:jc w:val="both"/>
        <w:rPr>
          <w:color w:val="000000"/>
        </w:rPr>
      </w:pPr>
      <w:r w:rsidRPr="00B84CBC">
        <w:rPr>
          <w:color w:val="000000"/>
        </w:rPr>
        <w:t>Общая численность детей в возрасте от 1-6 лет, проживающих на территории муниципального образования г.Саяногорск, составляет 4</w:t>
      </w:r>
      <w:r w:rsidR="009542AD" w:rsidRPr="00B84CBC">
        <w:rPr>
          <w:color w:val="000000"/>
        </w:rPr>
        <w:t xml:space="preserve"> </w:t>
      </w:r>
      <w:r w:rsidRPr="00B84CBC">
        <w:rPr>
          <w:color w:val="000000"/>
        </w:rPr>
        <w:t>676 детей</w:t>
      </w:r>
      <w:r w:rsidR="009542AD" w:rsidRPr="00B84CBC">
        <w:rPr>
          <w:color w:val="000000"/>
        </w:rPr>
        <w:t xml:space="preserve">, из них </w:t>
      </w:r>
      <w:r w:rsidRPr="00B84CBC">
        <w:rPr>
          <w:color w:val="000000"/>
        </w:rPr>
        <w:t>получающих дошкольную образовательную услугу</w:t>
      </w:r>
      <w:r w:rsidR="009542AD" w:rsidRPr="00B84CBC">
        <w:rPr>
          <w:color w:val="000000"/>
        </w:rPr>
        <w:t xml:space="preserve"> -</w:t>
      </w:r>
      <w:r w:rsidRPr="00B84CBC">
        <w:rPr>
          <w:color w:val="000000"/>
        </w:rPr>
        <w:t xml:space="preserve"> 4</w:t>
      </w:r>
      <w:r w:rsidR="009542AD" w:rsidRPr="00B84CBC">
        <w:rPr>
          <w:color w:val="000000"/>
        </w:rPr>
        <w:t xml:space="preserve"> </w:t>
      </w:r>
      <w:r w:rsidRPr="00B84CBC">
        <w:rPr>
          <w:color w:val="000000"/>
        </w:rPr>
        <w:t>078 детей. Значение данного показателя составило 87,2% (в 2018 году</w:t>
      </w:r>
      <w:r w:rsidR="00F2717A" w:rsidRPr="00B84CBC">
        <w:rPr>
          <w:color w:val="000000"/>
        </w:rPr>
        <w:t xml:space="preserve"> </w:t>
      </w:r>
      <w:r w:rsidRPr="00B84CBC">
        <w:rPr>
          <w:color w:val="000000"/>
        </w:rPr>
        <w:t xml:space="preserve">- 93,5%). Уменьшение процента охвата детей в возрасте от 1 до 6 лет обусловлено </w:t>
      </w:r>
      <w:r w:rsidR="00F2717A" w:rsidRPr="00B84CBC">
        <w:rPr>
          <w:color w:val="000000"/>
        </w:rPr>
        <w:t xml:space="preserve">демографией рождаемости в предыдущие годы, соответственно </w:t>
      </w:r>
      <w:r w:rsidRPr="00B84CBC">
        <w:rPr>
          <w:color w:val="000000"/>
        </w:rPr>
        <w:t xml:space="preserve">уменьшением общего количества детей данного возраста в муниципальных дошкольных образовательных организациях МО  г.Саяногорск. Все желающие обеспечены местами  в детских садах </w:t>
      </w:r>
      <w:r w:rsidR="00F2717A" w:rsidRPr="00B84CBC">
        <w:rPr>
          <w:color w:val="000000"/>
        </w:rPr>
        <w:t>МО г.Саяногорск</w:t>
      </w:r>
      <w:r w:rsidRPr="00B84CBC">
        <w:rPr>
          <w:color w:val="000000"/>
        </w:rPr>
        <w:t xml:space="preserve">, имеются свободные места для детей всех возрастов. Наибольшее число свободных мест в детских садах </w:t>
      </w:r>
      <w:r w:rsidR="00F2717A" w:rsidRPr="00B84CBC">
        <w:rPr>
          <w:color w:val="000000"/>
        </w:rPr>
        <w:t>р</w:t>
      </w:r>
      <w:r w:rsidRPr="00B84CBC">
        <w:rPr>
          <w:color w:val="000000"/>
        </w:rPr>
        <w:t>п.Черемушки «Щелкунчик»</w:t>
      </w:r>
      <w:r w:rsidR="00F2717A" w:rsidRPr="00B84CBC">
        <w:rPr>
          <w:color w:val="000000"/>
        </w:rPr>
        <w:t xml:space="preserve"> и</w:t>
      </w:r>
      <w:r w:rsidRPr="00B84CBC">
        <w:rPr>
          <w:color w:val="000000"/>
        </w:rPr>
        <w:t xml:space="preserve"> «Малыш».</w:t>
      </w:r>
    </w:p>
    <w:p w:rsidR="00D575F7" w:rsidRPr="00B84CBC" w:rsidRDefault="00D575F7" w:rsidP="00B66BDD">
      <w:pPr>
        <w:pStyle w:val="af7"/>
        <w:keepNext/>
        <w:suppressLineNumbers/>
        <w:suppressAutoHyphens/>
        <w:contextualSpacing/>
        <w:jc w:val="both"/>
        <w:rPr>
          <w:rFonts w:ascii="Times New Roman" w:eastAsia="Times New Roman" w:hAnsi="Times New Roman"/>
          <w:b/>
          <w:color w:val="00B050"/>
          <w:sz w:val="10"/>
          <w:szCs w:val="10"/>
          <w:lang w:eastAsia="ru-RU"/>
        </w:rPr>
      </w:pPr>
    </w:p>
    <w:p w:rsidR="006039EB" w:rsidRPr="00B84CBC" w:rsidRDefault="006039EB" w:rsidP="00B66BDD">
      <w:pPr>
        <w:pStyle w:val="af7"/>
        <w:keepNext/>
        <w:suppressLineNumbers/>
        <w:suppressAutoHyphens/>
        <w:contextualSpacing/>
        <w:jc w:val="both"/>
        <w:rPr>
          <w:rFonts w:ascii="Times New Roman" w:eastAsia="Times New Roman" w:hAnsi="Times New Roman"/>
          <w:i/>
          <w:sz w:val="24"/>
          <w:szCs w:val="24"/>
          <w:lang w:eastAsia="ru-RU"/>
        </w:rPr>
      </w:pPr>
      <w:r w:rsidRPr="00B84CBC">
        <w:rPr>
          <w:rFonts w:ascii="Times New Roman" w:eastAsia="Times New Roman" w:hAnsi="Times New Roman"/>
          <w:b/>
          <w:sz w:val="24"/>
          <w:szCs w:val="24"/>
          <w:lang w:eastAsia="ru-RU"/>
        </w:rPr>
        <w:t>Показатель №10</w:t>
      </w:r>
      <w:r w:rsidRPr="00B84CBC">
        <w:rPr>
          <w:rFonts w:ascii="Times New Roman" w:hAnsi="Times New Roman"/>
          <w:sz w:val="24"/>
          <w:szCs w:val="24"/>
        </w:rPr>
        <w:t xml:space="preserve"> </w:t>
      </w:r>
      <w:r w:rsidRPr="00B84CBC">
        <w:rPr>
          <w:rFonts w:ascii="Times New Roman" w:eastAsia="Times New Roman" w:hAnsi="Times New Roman"/>
          <w:i/>
          <w:sz w:val="24"/>
          <w:szCs w:val="24"/>
          <w:lang w:eastAsia="ru-RU"/>
        </w:rPr>
        <w:t xml:space="preserve">«Доля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w:t>
      </w:r>
      <w:r w:rsidR="00D575F7" w:rsidRPr="00B84CBC">
        <w:rPr>
          <w:rFonts w:ascii="Times New Roman" w:eastAsia="Times New Roman" w:hAnsi="Times New Roman"/>
          <w:i/>
          <w:sz w:val="24"/>
          <w:szCs w:val="24"/>
          <w:lang w:eastAsia="ru-RU"/>
        </w:rPr>
        <w:t>1</w:t>
      </w:r>
      <w:r w:rsidRPr="00B84CBC">
        <w:rPr>
          <w:rFonts w:ascii="Times New Roman" w:eastAsia="Times New Roman" w:hAnsi="Times New Roman"/>
          <w:i/>
          <w:sz w:val="24"/>
          <w:szCs w:val="24"/>
          <w:lang w:eastAsia="ru-RU"/>
        </w:rPr>
        <w:t>-6 лет»</w:t>
      </w:r>
    </w:p>
    <w:p w:rsidR="00B1048D" w:rsidRPr="00B84CBC" w:rsidRDefault="00B1048D" w:rsidP="00B66BDD">
      <w:pPr>
        <w:keepNext/>
        <w:suppressLineNumbers/>
        <w:suppressAutoHyphens/>
        <w:ind w:firstLine="709"/>
        <w:contextualSpacing/>
        <w:jc w:val="both"/>
        <w:rPr>
          <w:color w:val="000000"/>
        </w:rPr>
      </w:pPr>
      <w:bookmarkStart w:id="0" w:name="_GoBack"/>
      <w:bookmarkEnd w:id="0"/>
      <w:r w:rsidRPr="00B84CBC">
        <w:rPr>
          <w:color w:val="000000"/>
        </w:rPr>
        <w:t xml:space="preserve">Данный показатель рассчитан на основании данных банка детей, стоящих на учете для получения места в ДОУ. Доля детей в возрасте от 1 до 6 лет, стоящих на учете для определения в муниципальные детские сады </w:t>
      </w:r>
      <w:r w:rsidR="00F2717A" w:rsidRPr="00B84CBC">
        <w:rPr>
          <w:color w:val="000000"/>
        </w:rPr>
        <w:t xml:space="preserve">МО г.Саяногорск </w:t>
      </w:r>
      <w:r w:rsidRPr="00B84CBC">
        <w:rPr>
          <w:color w:val="000000"/>
        </w:rPr>
        <w:t>в 2019 году составила 1,5%; Уменьшение  детей, стоящих на учете для получения места в ДОУ, обусловлено максимальным охватом детей в детских садах, в том числе в группах кратковременного пребывания, увеличением количества родителей (законных представителей), подающих заявления через портал государственных услуг, проведением просветительской работы с родителями (законными представителями) о необходимости своевременной постановки детей на учет для получения места в детск</w:t>
      </w:r>
      <w:r w:rsidR="00F2717A" w:rsidRPr="00B84CBC">
        <w:rPr>
          <w:color w:val="000000"/>
        </w:rPr>
        <w:t xml:space="preserve">их </w:t>
      </w:r>
      <w:r w:rsidRPr="00B84CBC">
        <w:rPr>
          <w:color w:val="000000"/>
        </w:rPr>
        <w:t>сад</w:t>
      </w:r>
      <w:r w:rsidR="00F2717A" w:rsidRPr="00B84CBC">
        <w:rPr>
          <w:color w:val="000000"/>
        </w:rPr>
        <w:t>ах</w:t>
      </w:r>
      <w:r w:rsidRPr="00B84CBC">
        <w:rPr>
          <w:color w:val="000000"/>
        </w:rPr>
        <w:t>.</w:t>
      </w:r>
    </w:p>
    <w:p w:rsidR="00F2717A" w:rsidRPr="00B84CBC" w:rsidRDefault="00F2717A" w:rsidP="00B66BDD">
      <w:pPr>
        <w:keepNext/>
        <w:suppressLineNumbers/>
        <w:suppressAutoHyphens/>
        <w:ind w:firstLine="709"/>
        <w:contextualSpacing/>
        <w:jc w:val="both"/>
        <w:rPr>
          <w:color w:val="000000"/>
          <w:sz w:val="10"/>
          <w:szCs w:val="10"/>
        </w:rPr>
      </w:pPr>
    </w:p>
    <w:p w:rsidR="006039EB" w:rsidRPr="00B84CBC" w:rsidRDefault="006039EB" w:rsidP="00B66BDD">
      <w:pPr>
        <w:keepNext/>
        <w:suppressLineNumbers/>
        <w:suppressAutoHyphens/>
        <w:contextualSpacing/>
        <w:jc w:val="both"/>
        <w:rPr>
          <w:i/>
        </w:rPr>
      </w:pPr>
      <w:r w:rsidRPr="00B84CBC">
        <w:rPr>
          <w:b/>
        </w:rPr>
        <w:t xml:space="preserve">Показатель №11 </w:t>
      </w:r>
      <w:r w:rsidRPr="00B84CBC">
        <w:rPr>
          <w:i/>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p>
    <w:p w:rsidR="00816360" w:rsidRPr="00B84CBC" w:rsidRDefault="00816360"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 xml:space="preserve">В </w:t>
      </w:r>
      <w:r w:rsidR="00902BB9" w:rsidRPr="00B84CBC">
        <w:rPr>
          <w:spacing w:val="0"/>
          <w:sz w:val="24"/>
          <w:szCs w:val="24"/>
        </w:rPr>
        <w:t xml:space="preserve">МО г.Саяногорск </w:t>
      </w:r>
      <w:r w:rsidRPr="00B84CBC">
        <w:rPr>
          <w:spacing w:val="0"/>
          <w:sz w:val="24"/>
          <w:szCs w:val="24"/>
        </w:rPr>
        <w:t xml:space="preserve">14 дошкольных образовательных учреждений, которые находятся в удовлетворительном техническом состоянии. Аварийных зданий нет, поэтому </w:t>
      </w:r>
      <w:r w:rsidR="002774A6" w:rsidRPr="00B84CBC">
        <w:rPr>
          <w:spacing w:val="0"/>
          <w:sz w:val="24"/>
          <w:szCs w:val="24"/>
        </w:rPr>
        <w:t xml:space="preserve">значения показателя </w:t>
      </w:r>
      <w:r w:rsidR="00F2717A" w:rsidRPr="00B84CBC">
        <w:rPr>
          <w:spacing w:val="0"/>
          <w:sz w:val="24"/>
          <w:szCs w:val="24"/>
        </w:rPr>
        <w:t xml:space="preserve">в 2019 году - 0 </w:t>
      </w:r>
      <w:r w:rsidR="000C6D6F" w:rsidRPr="00B84CBC">
        <w:rPr>
          <w:spacing w:val="0"/>
          <w:sz w:val="24"/>
          <w:szCs w:val="24"/>
        </w:rPr>
        <w:t>и на планируемый период 20</w:t>
      </w:r>
      <w:r w:rsidR="00A07B86" w:rsidRPr="00B84CBC">
        <w:rPr>
          <w:spacing w:val="0"/>
          <w:sz w:val="24"/>
          <w:szCs w:val="24"/>
        </w:rPr>
        <w:t>20</w:t>
      </w:r>
      <w:r w:rsidR="000C6D6F" w:rsidRPr="00B84CBC">
        <w:rPr>
          <w:spacing w:val="0"/>
          <w:sz w:val="24"/>
          <w:szCs w:val="24"/>
        </w:rPr>
        <w:t>-</w:t>
      </w:r>
      <w:r w:rsidRPr="00B84CBC">
        <w:rPr>
          <w:spacing w:val="0"/>
          <w:sz w:val="24"/>
          <w:szCs w:val="24"/>
        </w:rPr>
        <w:t>202</w:t>
      </w:r>
      <w:r w:rsidR="00A07B86" w:rsidRPr="00B84CBC">
        <w:rPr>
          <w:spacing w:val="0"/>
          <w:sz w:val="24"/>
          <w:szCs w:val="24"/>
        </w:rPr>
        <w:t>2</w:t>
      </w:r>
      <w:r w:rsidR="000C6D6F" w:rsidRPr="00B84CBC">
        <w:rPr>
          <w:spacing w:val="0"/>
          <w:sz w:val="24"/>
          <w:szCs w:val="24"/>
        </w:rPr>
        <w:t xml:space="preserve"> гг.</w:t>
      </w:r>
      <w:r w:rsidRPr="00B84CBC">
        <w:rPr>
          <w:spacing w:val="0"/>
          <w:sz w:val="24"/>
          <w:szCs w:val="24"/>
        </w:rPr>
        <w:t xml:space="preserve"> </w:t>
      </w:r>
      <w:r w:rsidR="00F2717A" w:rsidRPr="00B84CBC">
        <w:rPr>
          <w:spacing w:val="0"/>
          <w:sz w:val="24"/>
          <w:szCs w:val="24"/>
        </w:rPr>
        <w:t>- 0</w:t>
      </w:r>
      <w:r w:rsidRPr="00B84CBC">
        <w:rPr>
          <w:spacing w:val="0"/>
          <w:sz w:val="24"/>
          <w:szCs w:val="24"/>
        </w:rPr>
        <w:t>.</w:t>
      </w:r>
    </w:p>
    <w:p w:rsidR="00E65F9F" w:rsidRPr="00B84CBC" w:rsidRDefault="00E65F9F" w:rsidP="00B66BDD">
      <w:pPr>
        <w:keepNext/>
        <w:suppressLineNumbers/>
        <w:suppressAutoHyphens/>
        <w:contextualSpacing/>
        <w:jc w:val="both"/>
        <w:rPr>
          <w:b/>
          <w:sz w:val="10"/>
          <w:szCs w:val="10"/>
        </w:rPr>
      </w:pPr>
    </w:p>
    <w:p w:rsidR="006039EB" w:rsidRPr="00B84CBC" w:rsidRDefault="00E65F9F" w:rsidP="00B66BDD">
      <w:pPr>
        <w:keepNext/>
        <w:suppressLineNumbers/>
        <w:suppressAutoHyphens/>
        <w:contextualSpacing/>
        <w:jc w:val="both"/>
        <w:rPr>
          <w:i/>
        </w:rPr>
      </w:pPr>
      <w:r w:rsidRPr="00B84CBC">
        <w:rPr>
          <w:b/>
        </w:rPr>
        <w:t>Показатель №1</w:t>
      </w:r>
      <w:r w:rsidR="00575AA3" w:rsidRPr="00B84CBC">
        <w:rPr>
          <w:b/>
        </w:rPr>
        <w:t>2</w:t>
      </w:r>
      <w:r w:rsidRPr="00B84CBC">
        <w:rPr>
          <w:b/>
        </w:rPr>
        <w:t xml:space="preserve"> </w:t>
      </w:r>
      <w:r w:rsidR="006039EB" w:rsidRPr="00B84CBC">
        <w:rPr>
          <w:i/>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1148A9" w:rsidRPr="00B84CBC" w:rsidRDefault="001148A9" w:rsidP="00B66BDD">
      <w:pPr>
        <w:keepNext/>
        <w:suppressLineNumbers/>
        <w:suppressAutoHyphens/>
        <w:ind w:firstLine="567"/>
        <w:contextualSpacing/>
        <w:jc w:val="both"/>
      </w:pPr>
      <w:r w:rsidRPr="00B84CBC">
        <w:t>Выпускников, не получивших аттестат о среднем (полном) образовании, в общей численности выпускников муниципальных общеобразовательных учреждений в учебном году 2018-2019</w:t>
      </w:r>
      <w:r w:rsidR="00F2717A" w:rsidRPr="00B84CBC">
        <w:t>г</w:t>
      </w:r>
      <w:r w:rsidRPr="00B84CBC">
        <w:t xml:space="preserve">г. – </w:t>
      </w:r>
      <w:r w:rsidR="00A07B86" w:rsidRPr="00B84CBC">
        <w:t>отсутствует</w:t>
      </w:r>
      <w:r w:rsidRPr="00B84CBC">
        <w:t xml:space="preserve">. Всего выпускников </w:t>
      </w:r>
      <w:r w:rsidR="00F2717A" w:rsidRPr="00B84CBC">
        <w:t xml:space="preserve">- </w:t>
      </w:r>
      <w:r w:rsidRPr="00B84CBC">
        <w:t>282</w:t>
      </w:r>
      <w:r w:rsidR="005B5A03" w:rsidRPr="00B84CBC">
        <w:t xml:space="preserve">, </w:t>
      </w:r>
      <w:r w:rsidR="00F2717A" w:rsidRPr="00B84CBC">
        <w:t xml:space="preserve">все сдали ЕГЭ, поэтому </w:t>
      </w:r>
      <w:r w:rsidR="005B5A03" w:rsidRPr="00B84CBC">
        <w:t xml:space="preserve">значение показателя </w:t>
      </w:r>
      <w:r w:rsidR="00F2717A" w:rsidRPr="00B84CBC">
        <w:t>- 0 и на планируемый период 2020-2022 гг. - 0.</w:t>
      </w:r>
    </w:p>
    <w:p w:rsidR="006751DC" w:rsidRPr="00B84CBC" w:rsidRDefault="006751DC" w:rsidP="00B66BDD">
      <w:pPr>
        <w:keepNext/>
        <w:suppressLineNumbers/>
        <w:suppressAutoHyphens/>
        <w:ind w:firstLine="567"/>
        <w:contextualSpacing/>
        <w:jc w:val="both"/>
        <w:rPr>
          <w:sz w:val="10"/>
          <w:szCs w:val="10"/>
        </w:rPr>
      </w:pPr>
    </w:p>
    <w:p w:rsidR="00570E2D" w:rsidRPr="00B84CBC" w:rsidRDefault="00952F3E" w:rsidP="00B66BDD">
      <w:pPr>
        <w:keepNext/>
        <w:suppressLineNumbers/>
        <w:suppressAutoHyphens/>
        <w:contextualSpacing/>
        <w:jc w:val="both"/>
        <w:rPr>
          <w:i/>
        </w:rPr>
      </w:pPr>
      <w:r w:rsidRPr="00B84CBC">
        <w:rPr>
          <w:b/>
        </w:rPr>
        <w:t>Показатель №</w:t>
      </w:r>
      <w:r w:rsidR="00575AA3" w:rsidRPr="00B84CBC">
        <w:rPr>
          <w:b/>
        </w:rPr>
        <w:t>13</w:t>
      </w:r>
      <w:r w:rsidR="006039EB" w:rsidRPr="00B84CBC">
        <w:rPr>
          <w:b/>
        </w:rPr>
        <w:t xml:space="preserve"> </w:t>
      </w:r>
      <w:r w:rsidR="006039EB" w:rsidRPr="00B84CBC">
        <w:rPr>
          <w:i/>
        </w:rPr>
        <w:t>«Доля</w:t>
      </w:r>
      <w:r w:rsidR="006039EB" w:rsidRPr="00B84CBC">
        <w:rPr>
          <w:b/>
        </w:rPr>
        <w:t xml:space="preserve"> </w:t>
      </w:r>
      <w:r w:rsidR="006039EB" w:rsidRPr="00B84CBC">
        <w:rPr>
          <w:i/>
        </w:rPr>
        <w:t>муниципальных общеобразовательных учреждений, соответствующих современным требованиям, в общем количестве</w:t>
      </w:r>
      <w:r w:rsidR="00570E2D" w:rsidRPr="00B84CBC">
        <w:rPr>
          <w:i/>
        </w:rPr>
        <w:t xml:space="preserve"> муниципальных общеобразовательных учреждений»</w:t>
      </w:r>
    </w:p>
    <w:p w:rsidR="00253937" w:rsidRPr="00B84CBC" w:rsidRDefault="00253937"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lastRenderedPageBreak/>
        <w:t xml:space="preserve">Муниципальные общеобразовательные учреждения </w:t>
      </w:r>
      <w:r w:rsidR="00902BB9" w:rsidRPr="00B84CBC">
        <w:rPr>
          <w:spacing w:val="0"/>
          <w:sz w:val="24"/>
          <w:szCs w:val="24"/>
        </w:rPr>
        <w:t xml:space="preserve">МО г.Саяногорск </w:t>
      </w:r>
      <w:r w:rsidRPr="00B84CBC">
        <w:rPr>
          <w:spacing w:val="0"/>
          <w:sz w:val="24"/>
          <w:szCs w:val="24"/>
        </w:rPr>
        <w:t xml:space="preserve"> оснащены необходимым современным дидактическим, спортивным оборудованием, компьютерной техникой, что позволяет школам соответствовать всем требованиям обучения. Исходя и</w:t>
      </w:r>
      <w:r w:rsidR="00470CEC" w:rsidRPr="00B84CBC">
        <w:rPr>
          <w:spacing w:val="0"/>
          <w:sz w:val="24"/>
          <w:szCs w:val="24"/>
        </w:rPr>
        <w:t>з</w:t>
      </w:r>
      <w:r w:rsidRPr="00B84CBC">
        <w:rPr>
          <w:spacing w:val="0"/>
          <w:sz w:val="24"/>
          <w:szCs w:val="24"/>
        </w:rPr>
        <w:t xml:space="preserve"> этого, </w:t>
      </w:r>
      <w:r w:rsidR="00470CEC" w:rsidRPr="00B84CBC">
        <w:rPr>
          <w:spacing w:val="0"/>
          <w:sz w:val="24"/>
          <w:szCs w:val="24"/>
        </w:rPr>
        <w:t xml:space="preserve">значение </w:t>
      </w:r>
      <w:r w:rsidRPr="00B84CBC">
        <w:rPr>
          <w:spacing w:val="0"/>
          <w:sz w:val="24"/>
          <w:szCs w:val="24"/>
        </w:rPr>
        <w:t>показател</w:t>
      </w:r>
      <w:r w:rsidR="00470CEC" w:rsidRPr="00B84CBC">
        <w:rPr>
          <w:spacing w:val="0"/>
          <w:sz w:val="24"/>
          <w:szCs w:val="24"/>
        </w:rPr>
        <w:t>я</w:t>
      </w:r>
      <w:r w:rsidRPr="00B84CBC">
        <w:rPr>
          <w:spacing w:val="0"/>
          <w:sz w:val="24"/>
          <w:szCs w:val="24"/>
        </w:rPr>
        <w:t xml:space="preserve"> 100%.</w:t>
      </w:r>
    </w:p>
    <w:p w:rsidR="00BF18F6" w:rsidRPr="00B84CBC" w:rsidRDefault="00BF18F6" w:rsidP="00B66BDD">
      <w:pPr>
        <w:pStyle w:val="12"/>
        <w:keepNext/>
        <w:widowControl/>
        <w:suppressLineNumbers/>
        <w:shd w:val="clear" w:color="auto" w:fill="auto"/>
        <w:suppressAutoHyphens/>
        <w:spacing w:line="240" w:lineRule="auto"/>
        <w:ind w:firstLine="709"/>
        <w:contextualSpacing/>
        <w:rPr>
          <w:spacing w:val="0"/>
          <w:sz w:val="10"/>
          <w:szCs w:val="10"/>
        </w:rPr>
      </w:pPr>
    </w:p>
    <w:p w:rsidR="006039EB" w:rsidRPr="00B84CBC" w:rsidRDefault="00952F3E" w:rsidP="00B66BDD">
      <w:pPr>
        <w:keepNext/>
        <w:suppressLineNumbers/>
        <w:suppressAutoHyphens/>
        <w:contextualSpacing/>
        <w:jc w:val="both"/>
        <w:rPr>
          <w:i/>
        </w:rPr>
      </w:pPr>
      <w:r w:rsidRPr="00B84CBC">
        <w:rPr>
          <w:b/>
        </w:rPr>
        <w:t>Показатель №1</w:t>
      </w:r>
      <w:r w:rsidR="00575AA3" w:rsidRPr="00B84CBC">
        <w:rPr>
          <w:b/>
        </w:rPr>
        <w:t>4</w:t>
      </w:r>
      <w:r w:rsidR="006039EB" w:rsidRPr="00B84CBC">
        <w:rPr>
          <w:b/>
        </w:rPr>
        <w:t xml:space="preserve"> </w:t>
      </w:r>
      <w:r w:rsidR="006039EB" w:rsidRPr="00B84CBC">
        <w:rPr>
          <w:i/>
        </w:rPr>
        <w:t>«Доля</w:t>
      </w:r>
      <w:r w:rsidR="006039EB" w:rsidRPr="00B84CBC">
        <w:rPr>
          <w:b/>
        </w:rPr>
        <w:t xml:space="preserve"> </w:t>
      </w:r>
      <w:r w:rsidR="006039EB" w:rsidRPr="00B84CBC">
        <w:rPr>
          <w:i/>
        </w:rPr>
        <w:t>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26C07" w:rsidRPr="00B84CBC" w:rsidRDefault="00253937" w:rsidP="00F2717A">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 xml:space="preserve">В </w:t>
      </w:r>
      <w:r w:rsidR="00902BB9" w:rsidRPr="00B84CBC">
        <w:rPr>
          <w:spacing w:val="0"/>
          <w:sz w:val="24"/>
          <w:szCs w:val="24"/>
        </w:rPr>
        <w:t xml:space="preserve">МО г.Саяногорск </w:t>
      </w:r>
      <w:r w:rsidRPr="00B84CBC">
        <w:rPr>
          <w:spacing w:val="0"/>
          <w:sz w:val="24"/>
          <w:szCs w:val="24"/>
        </w:rPr>
        <w:t xml:space="preserve">10 общеобразовательных учреждений, которые находятся в удовлетворительном техническом состоянии. Аварийных зданий нет, </w:t>
      </w:r>
      <w:r w:rsidR="002774A6" w:rsidRPr="00B84CBC">
        <w:rPr>
          <w:spacing w:val="0"/>
          <w:sz w:val="24"/>
          <w:szCs w:val="24"/>
        </w:rPr>
        <w:t xml:space="preserve">поэтому значения показателя </w:t>
      </w:r>
      <w:r w:rsidR="00F2717A" w:rsidRPr="00B84CBC">
        <w:rPr>
          <w:spacing w:val="0"/>
          <w:sz w:val="24"/>
          <w:szCs w:val="24"/>
        </w:rPr>
        <w:t>в 2019 году - 0 и на планируемый период 2020-2022 гг. - 0.</w:t>
      </w:r>
    </w:p>
    <w:p w:rsidR="00F2717A" w:rsidRPr="00B84CBC" w:rsidRDefault="00F2717A" w:rsidP="00F2717A">
      <w:pPr>
        <w:pStyle w:val="12"/>
        <w:keepNext/>
        <w:widowControl/>
        <w:suppressLineNumbers/>
        <w:shd w:val="clear" w:color="auto" w:fill="auto"/>
        <w:suppressAutoHyphens/>
        <w:spacing w:line="240" w:lineRule="auto"/>
        <w:ind w:firstLine="709"/>
        <w:contextualSpacing/>
        <w:rPr>
          <w:color w:val="00B050"/>
          <w:spacing w:val="0"/>
          <w:sz w:val="10"/>
          <w:szCs w:val="10"/>
        </w:rPr>
      </w:pPr>
    </w:p>
    <w:p w:rsidR="006039EB" w:rsidRPr="00B84CBC" w:rsidRDefault="00952F3E" w:rsidP="00B66BDD">
      <w:pPr>
        <w:keepNext/>
        <w:suppressLineNumbers/>
        <w:suppressAutoHyphens/>
        <w:contextualSpacing/>
        <w:jc w:val="both"/>
        <w:rPr>
          <w:i/>
        </w:rPr>
      </w:pPr>
      <w:r w:rsidRPr="00B84CBC">
        <w:rPr>
          <w:b/>
        </w:rPr>
        <w:t>Показатель №1</w:t>
      </w:r>
      <w:r w:rsidR="00575AA3" w:rsidRPr="00B84CBC">
        <w:rPr>
          <w:b/>
        </w:rPr>
        <w:t>5</w:t>
      </w:r>
      <w:r w:rsidR="006039EB" w:rsidRPr="00B84CBC">
        <w:rPr>
          <w:b/>
        </w:rPr>
        <w:t xml:space="preserve"> </w:t>
      </w:r>
      <w:r w:rsidR="006039EB" w:rsidRPr="00B84CBC">
        <w:rPr>
          <w:i/>
        </w:rPr>
        <w:t>«Доля детей первой и второй группы здоровья в общей численности обучающихся в муниципальных общеобразовательных учреждениях»</w:t>
      </w:r>
    </w:p>
    <w:p w:rsidR="00253937" w:rsidRPr="00B84CBC" w:rsidRDefault="00A41BD4"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С</w:t>
      </w:r>
      <w:r w:rsidR="004C6E60" w:rsidRPr="00B84CBC">
        <w:rPr>
          <w:spacing w:val="0"/>
          <w:sz w:val="24"/>
          <w:szCs w:val="24"/>
        </w:rPr>
        <w:t xml:space="preserve"> 2011 </w:t>
      </w:r>
      <w:r w:rsidRPr="00B84CBC">
        <w:rPr>
          <w:spacing w:val="0"/>
          <w:sz w:val="24"/>
          <w:szCs w:val="24"/>
        </w:rPr>
        <w:t xml:space="preserve">года </w:t>
      </w:r>
      <w:r w:rsidR="00B818F0" w:rsidRPr="00B84CBC">
        <w:rPr>
          <w:spacing w:val="0"/>
          <w:sz w:val="24"/>
          <w:szCs w:val="24"/>
        </w:rPr>
        <w:t xml:space="preserve">в учреждениях активизирована </w:t>
      </w:r>
      <w:r w:rsidR="00253937" w:rsidRPr="00B84CBC">
        <w:rPr>
          <w:spacing w:val="0"/>
          <w:sz w:val="24"/>
          <w:szCs w:val="24"/>
        </w:rPr>
        <w:t>воспитательная работа по формированию у детей культуры здорового образа жизни - отказ от курения, здоровое питание, занятие физической культурой.</w:t>
      </w:r>
    </w:p>
    <w:p w:rsidR="00253937" w:rsidRPr="00B84CBC" w:rsidRDefault="006162BC"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Охват</w:t>
      </w:r>
      <w:r w:rsidR="00B818F0" w:rsidRPr="00B84CBC">
        <w:rPr>
          <w:spacing w:val="0"/>
          <w:sz w:val="24"/>
          <w:szCs w:val="24"/>
        </w:rPr>
        <w:t xml:space="preserve"> </w:t>
      </w:r>
      <w:r w:rsidR="00253937" w:rsidRPr="00B84CBC">
        <w:rPr>
          <w:spacing w:val="0"/>
          <w:sz w:val="24"/>
          <w:szCs w:val="24"/>
        </w:rPr>
        <w:t xml:space="preserve">школьников горячим питанием в </w:t>
      </w:r>
      <w:r w:rsidR="00B818F0" w:rsidRPr="00B84CBC">
        <w:rPr>
          <w:spacing w:val="0"/>
          <w:sz w:val="24"/>
          <w:szCs w:val="24"/>
        </w:rPr>
        <w:t>общеобразовательных учреждениях МО г.Саяногорск увеличен</w:t>
      </w:r>
      <w:r w:rsidR="00253937" w:rsidRPr="00B84CBC">
        <w:rPr>
          <w:spacing w:val="0"/>
          <w:sz w:val="24"/>
          <w:szCs w:val="24"/>
        </w:rPr>
        <w:t xml:space="preserve"> с 2013 года с 84,5% до 8</w:t>
      </w:r>
      <w:r w:rsidR="007A399E" w:rsidRPr="00B84CBC">
        <w:rPr>
          <w:spacing w:val="0"/>
          <w:sz w:val="24"/>
          <w:szCs w:val="24"/>
        </w:rPr>
        <w:t>9</w:t>
      </w:r>
      <w:r w:rsidRPr="00B84CBC">
        <w:rPr>
          <w:spacing w:val="0"/>
          <w:sz w:val="24"/>
          <w:szCs w:val="24"/>
        </w:rPr>
        <w:t>,</w:t>
      </w:r>
      <w:r w:rsidR="007A399E" w:rsidRPr="00B84CBC">
        <w:rPr>
          <w:spacing w:val="0"/>
          <w:sz w:val="24"/>
          <w:szCs w:val="24"/>
        </w:rPr>
        <w:t>4</w:t>
      </w:r>
      <w:r w:rsidR="00253937" w:rsidRPr="00B84CBC">
        <w:rPr>
          <w:spacing w:val="0"/>
          <w:sz w:val="24"/>
          <w:szCs w:val="24"/>
        </w:rPr>
        <w:t>%</w:t>
      </w:r>
      <w:r w:rsidR="00902BB9" w:rsidRPr="00B84CBC">
        <w:rPr>
          <w:spacing w:val="0"/>
          <w:sz w:val="24"/>
          <w:szCs w:val="24"/>
        </w:rPr>
        <w:t>.</w:t>
      </w:r>
    </w:p>
    <w:p w:rsidR="00253937" w:rsidRPr="00B84CBC" w:rsidRDefault="00253937"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В школах систематически проводятся акции, мероприятия, лекции, позволяющие учащимся заботиться о своем здоровье и обдуманно отказаться от употребления табака, алкогольной и наркотической продукции.</w:t>
      </w:r>
    </w:p>
    <w:p w:rsidR="00253937" w:rsidRPr="00B84CBC" w:rsidRDefault="00253937"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С 2010 года во всех классах введен 3 час физической культуры. Школы оснащаются спортивным оборудованием (</w:t>
      </w:r>
      <w:r w:rsidR="006162BC" w:rsidRPr="00B84CBC">
        <w:rPr>
          <w:spacing w:val="0"/>
          <w:sz w:val="24"/>
          <w:szCs w:val="24"/>
        </w:rPr>
        <w:t>Майнская средняя школа</w:t>
      </w:r>
      <w:r w:rsidRPr="00B84CBC">
        <w:rPr>
          <w:spacing w:val="0"/>
          <w:sz w:val="24"/>
          <w:szCs w:val="24"/>
        </w:rPr>
        <w:t xml:space="preserve">, Лицей №7, </w:t>
      </w:r>
      <w:r w:rsidR="006162BC" w:rsidRPr="00B84CBC">
        <w:rPr>
          <w:spacing w:val="0"/>
          <w:sz w:val="24"/>
          <w:szCs w:val="24"/>
        </w:rPr>
        <w:t>школа</w:t>
      </w:r>
      <w:r w:rsidRPr="00B84CBC">
        <w:rPr>
          <w:spacing w:val="0"/>
          <w:sz w:val="24"/>
          <w:szCs w:val="24"/>
        </w:rPr>
        <w:t xml:space="preserve"> №5). Наблюдается заинтересованность детей участ</w:t>
      </w:r>
      <w:r w:rsidR="00902BB9" w:rsidRPr="00B84CBC">
        <w:rPr>
          <w:spacing w:val="0"/>
          <w:sz w:val="24"/>
          <w:szCs w:val="24"/>
        </w:rPr>
        <w:t xml:space="preserve">вовать </w:t>
      </w:r>
      <w:r w:rsidRPr="00B84CBC">
        <w:rPr>
          <w:spacing w:val="0"/>
          <w:sz w:val="24"/>
          <w:szCs w:val="24"/>
        </w:rPr>
        <w:t>в спортивных соревнованиях, марафонах, пробегах выходного дня. Также с 2014 года в Лице</w:t>
      </w:r>
      <w:r w:rsidR="006162BC" w:rsidRPr="00B84CBC">
        <w:rPr>
          <w:spacing w:val="0"/>
          <w:sz w:val="24"/>
          <w:szCs w:val="24"/>
        </w:rPr>
        <w:t>е</w:t>
      </w:r>
      <w:r w:rsidRPr="00B84CBC">
        <w:rPr>
          <w:spacing w:val="0"/>
          <w:sz w:val="24"/>
          <w:szCs w:val="24"/>
        </w:rPr>
        <w:t xml:space="preserve"> №7 и Ч</w:t>
      </w:r>
      <w:r w:rsidR="006162BC" w:rsidRPr="00B84CBC">
        <w:rPr>
          <w:spacing w:val="0"/>
          <w:sz w:val="24"/>
          <w:szCs w:val="24"/>
        </w:rPr>
        <w:t>еремушкинской школе №1</w:t>
      </w:r>
      <w:r w:rsidRPr="00B84CBC">
        <w:rPr>
          <w:spacing w:val="0"/>
          <w:sz w:val="24"/>
          <w:szCs w:val="24"/>
        </w:rPr>
        <w:t xml:space="preserve"> введена сдача </w:t>
      </w:r>
      <w:r w:rsidR="006162BC" w:rsidRPr="00B84CBC">
        <w:rPr>
          <w:spacing w:val="0"/>
          <w:sz w:val="24"/>
          <w:szCs w:val="24"/>
        </w:rPr>
        <w:t xml:space="preserve">норм </w:t>
      </w:r>
      <w:r w:rsidRPr="00B84CBC">
        <w:rPr>
          <w:spacing w:val="0"/>
          <w:sz w:val="24"/>
          <w:szCs w:val="24"/>
        </w:rPr>
        <w:t xml:space="preserve">ГТО, </w:t>
      </w:r>
      <w:r w:rsidR="006162BC" w:rsidRPr="00B84CBC">
        <w:rPr>
          <w:spacing w:val="0"/>
          <w:sz w:val="24"/>
          <w:szCs w:val="24"/>
        </w:rPr>
        <w:t xml:space="preserve">с </w:t>
      </w:r>
      <w:r w:rsidRPr="00B84CBC">
        <w:rPr>
          <w:spacing w:val="0"/>
          <w:sz w:val="24"/>
          <w:szCs w:val="24"/>
        </w:rPr>
        <w:t>2015</w:t>
      </w:r>
      <w:r w:rsidR="00902BB9" w:rsidRPr="00B84CBC">
        <w:rPr>
          <w:spacing w:val="0"/>
          <w:sz w:val="24"/>
          <w:szCs w:val="24"/>
        </w:rPr>
        <w:t xml:space="preserve"> </w:t>
      </w:r>
      <w:r w:rsidRPr="00B84CBC">
        <w:rPr>
          <w:spacing w:val="0"/>
          <w:sz w:val="24"/>
          <w:szCs w:val="24"/>
        </w:rPr>
        <w:t>год</w:t>
      </w:r>
      <w:r w:rsidR="006162BC" w:rsidRPr="00B84CBC">
        <w:rPr>
          <w:spacing w:val="0"/>
          <w:sz w:val="24"/>
          <w:szCs w:val="24"/>
        </w:rPr>
        <w:t>а</w:t>
      </w:r>
      <w:r w:rsidRPr="00B84CBC">
        <w:rPr>
          <w:spacing w:val="0"/>
          <w:sz w:val="24"/>
          <w:szCs w:val="24"/>
        </w:rPr>
        <w:t xml:space="preserve"> увеличено участие детей </w:t>
      </w:r>
      <w:r w:rsidR="00902BB9" w:rsidRPr="00B84CBC">
        <w:rPr>
          <w:spacing w:val="0"/>
          <w:sz w:val="24"/>
          <w:szCs w:val="24"/>
        </w:rPr>
        <w:t xml:space="preserve">в сдаче </w:t>
      </w:r>
      <w:r w:rsidR="006162BC" w:rsidRPr="00B84CBC">
        <w:rPr>
          <w:spacing w:val="0"/>
          <w:sz w:val="24"/>
          <w:szCs w:val="24"/>
        </w:rPr>
        <w:t xml:space="preserve">норм </w:t>
      </w:r>
      <w:r w:rsidR="00902BB9" w:rsidRPr="00B84CBC">
        <w:rPr>
          <w:spacing w:val="0"/>
          <w:sz w:val="24"/>
          <w:szCs w:val="24"/>
        </w:rPr>
        <w:t xml:space="preserve">ГТО </w:t>
      </w:r>
      <w:r w:rsidR="006162BC" w:rsidRPr="00B84CBC">
        <w:rPr>
          <w:spacing w:val="0"/>
          <w:sz w:val="24"/>
          <w:szCs w:val="24"/>
        </w:rPr>
        <w:t>в</w:t>
      </w:r>
      <w:r w:rsidRPr="00B84CBC">
        <w:rPr>
          <w:spacing w:val="0"/>
          <w:sz w:val="24"/>
          <w:szCs w:val="24"/>
        </w:rPr>
        <w:t>о всех образовательных организаци</w:t>
      </w:r>
      <w:r w:rsidR="006162BC" w:rsidRPr="00B84CBC">
        <w:rPr>
          <w:spacing w:val="0"/>
          <w:sz w:val="24"/>
          <w:szCs w:val="24"/>
        </w:rPr>
        <w:t>ях</w:t>
      </w:r>
      <w:r w:rsidRPr="00B84CBC">
        <w:rPr>
          <w:spacing w:val="0"/>
          <w:sz w:val="24"/>
          <w:szCs w:val="24"/>
        </w:rPr>
        <w:t>.</w:t>
      </w:r>
    </w:p>
    <w:p w:rsidR="00253937" w:rsidRPr="00B84CBC" w:rsidRDefault="00253937" w:rsidP="00B66BDD">
      <w:pPr>
        <w:pStyle w:val="12"/>
        <w:keepNext/>
        <w:widowControl/>
        <w:suppressLineNumbers/>
        <w:shd w:val="clear" w:color="auto" w:fill="auto"/>
        <w:suppressAutoHyphens/>
        <w:spacing w:line="240" w:lineRule="auto"/>
        <w:ind w:firstLine="709"/>
        <w:contextualSpacing/>
        <w:rPr>
          <w:spacing w:val="0"/>
          <w:sz w:val="24"/>
          <w:szCs w:val="24"/>
        </w:rPr>
      </w:pPr>
      <w:r w:rsidRPr="00B84CBC">
        <w:rPr>
          <w:spacing w:val="0"/>
          <w:sz w:val="24"/>
          <w:szCs w:val="24"/>
        </w:rPr>
        <w:t xml:space="preserve">Все эти меры привели к тому, что </w:t>
      </w:r>
      <w:r w:rsidR="006162BC" w:rsidRPr="00B84CBC">
        <w:rPr>
          <w:spacing w:val="0"/>
          <w:sz w:val="24"/>
          <w:szCs w:val="24"/>
        </w:rPr>
        <w:t>значения показателя «</w:t>
      </w:r>
      <w:r w:rsidRPr="00B84CBC">
        <w:rPr>
          <w:spacing w:val="0"/>
          <w:sz w:val="24"/>
          <w:szCs w:val="24"/>
        </w:rPr>
        <w:t>доля детей первой и второй групп</w:t>
      </w:r>
      <w:r w:rsidR="006162BC" w:rsidRPr="00B84CBC">
        <w:rPr>
          <w:spacing w:val="0"/>
          <w:sz w:val="24"/>
          <w:szCs w:val="24"/>
        </w:rPr>
        <w:t>ы</w:t>
      </w:r>
      <w:r w:rsidRPr="00B84CBC">
        <w:rPr>
          <w:spacing w:val="0"/>
          <w:sz w:val="24"/>
          <w:szCs w:val="24"/>
        </w:rPr>
        <w:t xml:space="preserve"> здоровья </w:t>
      </w:r>
      <w:r w:rsidR="006162BC" w:rsidRPr="00B84CBC">
        <w:rPr>
          <w:spacing w:val="0"/>
          <w:sz w:val="24"/>
          <w:szCs w:val="24"/>
        </w:rPr>
        <w:t xml:space="preserve">в общей численности обучающихся в муниципальных общеобразовательных учреждениях МО г.Саяногорск с 2016 года </w:t>
      </w:r>
      <w:r w:rsidRPr="00B84CBC">
        <w:rPr>
          <w:spacing w:val="0"/>
          <w:sz w:val="24"/>
          <w:szCs w:val="24"/>
        </w:rPr>
        <w:t>остается на уровне 87,1%</w:t>
      </w:r>
      <w:r w:rsidR="006162BC" w:rsidRPr="00B84CBC">
        <w:rPr>
          <w:spacing w:val="0"/>
          <w:sz w:val="24"/>
          <w:szCs w:val="24"/>
        </w:rPr>
        <w:t xml:space="preserve"> и планируется</w:t>
      </w:r>
      <w:r w:rsidR="005430E6" w:rsidRPr="00B84CBC">
        <w:rPr>
          <w:spacing w:val="0"/>
          <w:sz w:val="24"/>
          <w:szCs w:val="24"/>
        </w:rPr>
        <w:t xml:space="preserve"> на последующие годы на том же уровне 87,1%</w:t>
      </w:r>
      <w:r w:rsidRPr="00B84CBC">
        <w:rPr>
          <w:spacing w:val="0"/>
          <w:sz w:val="24"/>
          <w:szCs w:val="24"/>
        </w:rPr>
        <w:t>.</w:t>
      </w:r>
    </w:p>
    <w:p w:rsidR="00AC4898" w:rsidRPr="00B84CBC" w:rsidRDefault="00AC4898" w:rsidP="00B66BDD">
      <w:pPr>
        <w:keepNext/>
        <w:suppressLineNumbers/>
        <w:suppressAutoHyphens/>
        <w:contextualSpacing/>
        <w:jc w:val="both"/>
        <w:rPr>
          <w:b/>
          <w:sz w:val="10"/>
          <w:szCs w:val="10"/>
        </w:rPr>
      </w:pPr>
    </w:p>
    <w:p w:rsidR="006039EB" w:rsidRPr="00B84CBC" w:rsidRDefault="00952F3E" w:rsidP="00B66BDD">
      <w:pPr>
        <w:keepNext/>
        <w:suppressLineNumbers/>
        <w:suppressAutoHyphens/>
        <w:contextualSpacing/>
        <w:jc w:val="both"/>
        <w:rPr>
          <w:i/>
        </w:rPr>
      </w:pPr>
      <w:r w:rsidRPr="00B84CBC">
        <w:rPr>
          <w:b/>
        </w:rPr>
        <w:t>Показатель №1</w:t>
      </w:r>
      <w:r w:rsidR="00575AA3" w:rsidRPr="00B84CBC">
        <w:rPr>
          <w:b/>
        </w:rPr>
        <w:t>6</w:t>
      </w:r>
      <w:r w:rsidR="006039EB" w:rsidRPr="00B84CBC">
        <w:rPr>
          <w:b/>
        </w:rPr>
        <w:t xml:space="preserve"> </w:t>
      </w:r>
      <w:r w:rsidR="006039EB" w:rsidRPr="00B84CBC">
        <w:rPr>
          <w:i/>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6C1173" w:rsidRPr="00B84CBC" w:rsidRDefault="006C1173" w:rsidP="00B66BDD">
      <w:pPr>
        <w:keepNext/>
        <w:suppressLineNumbers/>
        <w:suppressAutoHyphens/>
        <w:ind w:firstLine="567"/>
        <w:contextualSpacing/>
        <w:jc w:val="both"/>
      </w:pPr>
      <w:r w:rsidRPr="00B84CBC">
        <w:t xml:space="preserve">Доля обучающихся в муниципальных общеобразовательных учреждениях, занимающихся во вторую (третью) смену, в общей численности обучающихся (в процентах), </w:t>
      </w:r>
      <w:r w:rsidR="00A41BD4" w:rsidRPr="00B84CBC">
        <w:t xml:space="preserve">в 2019 году составила 7,4%, </w:t>
      </w:r>
      <w:r w:rsidRPr="00B84CBC">
        <w:t>снижение на 0,</w:t>
      </w:r>
      <w:r w:rsidR="000D382D" w:rsidRPr="00B84CBC">
        <w:t>5</w:t>
      </w:r>
      <w:r w:rsidRPr="00B84CBC">
        <w:t>%</w:t>
      </w:r>
      <w:r w:rsidR="000D382D" w:rsidRPr="00B84CBC">
        <w:t xml:space="preserve"> </w:t>
      </w:r>
      <w:r w:rsidR="005809B3" w:rsidRPr="00B84CBC">
        <w:t>(</w:t>
      </w:r>
      <w:r w:rsidR="00A41BD4" w:rsidRPr="00B84CBC">
        <w:t xml:space="preserve">в </w:t>
      </w:r>
      <w:r w:rsidRPr="00B84CBC">
        <w:t>2017 год</w:t>
      </w:r>
      <w:r w:rsidR="00A41BD4" w:rsidRPr="00B84CBC">
        <w:t>у -</w:t>
      </w:r>
      <w:r w:rsidRPr="00B84CBC">
        <w:t xml:space="preserve"> 7,9%, </w:t>
      </w:r>
      <w:r w:rsidR="00A41BD4" w:rsidRPr="00B84CBC">
        <w:t xml:space="preserve">в </w:t>
      </w:r>
      <w:r w:rsidRPr="00B84CBC">
        <w:t>201</w:t>
      </w:r>
      <w:r w:rsidR="000D382D" w:rsidRPr="00B84CBC">
        <w:t>8</w:t>
      </w:r>
      <w:r w:rsidR="00A41BD4" w:rsidRPr="00B84CBC">
        <w:t xml:space="preserve"> году - </w:t>
      </w:r>
      <w:r w:rsidRPr="00B84CBC">
        <w:t>7,</w:t>
      </w:r>
      <w:r w:rsidR="000D382D" w:rsidRPr="00B84CBC">
        <w:t>8</w:t>
      </w:r>
      <w:r w:rsidRPr="00B84CBC">
        <w:t>%</w:t>
      </w:r>
      <w:r w:rsidR="00A41BD4" w:rsidRPr="00B84CBC">
        <w:t>)</w:t>
      </w:r>
      <w:r w:rsidRPr="00B84CBC">
        <w:t xml:space="preserve">. В связи с увеличение учеников 1-ых классов и перевод классов-комплектов во вторую смену в МБОУ СОШ №5, и закрытием одного здания МБОУ СОШ №6. Всего </w:t>
      </w:r>
      <w:r w:rsidR="00A41BD4" w:rsidRPr="00B84CBC">
        <w:t xml:space="preserve">в МО г.Саяногорск - </w:t>
      </w:r>
      <w:r w:rsidRPr="00B84CBC">
        <w:t>7</w:t>
      </w:r>
      <w:r w:rsidR="00A41BD4" w:rsidRPr="00B84CBC">
        <w:t xml:space="preserve"> </w:t>
      </w:r>
      <w:r w:rsidR="000D382D" w:rsidRPr="00B84CBC">
        <w:t>253</w:t>
      </w:r>
      <w:r w:rsidRPr="00B84CBC">
        <w:t xml:space="preserve"> учеников, </w:t>
      </w:r>
      <w:r w:rsidR="00A41BD4" w:rsidRPr="00B84CBC">
        <w:t xml:space="preserve">из них 536 учатся во </w:t>
      </w:r>
      <w:r w:rsidRPr="00B84CBC">
        <w:t>вторую смену.</w:t>
      </w:r>
    </w:p>
    <w:p w:rsidR="005B0DC1" w:rsidRPr="00B84CBC" w:rsidRDefault="005B0DC1" w:rsidP="00B66BDD">
      <w:pPr>
        <w:pStyle w:val="12"/>
        <w:keepNext/>
        <w:widowControl/>
        <w:suppressLineNumbers/>
        <w:shd w:val="clear" w:color="auto" w:fill="auto"/>
        <w:suppressAutoHyphens/>
        <w:spacing w:line="240" w:lineRule="auto"/>
        <w:ind w:firstLine="709"/>
        <w:contextualSpacing/>
        <w:rPr>
          <w:spacing w:val="0"/>
          <w:sz w:val="10"/>
          <w:szCs w:val="10"/>
        </w:rPr>
      </w:pPr>
    </w:p>
    <w:p w:rsidR="006039EB" w:rsidRPr="00B84CBC" w:rsidRDefault="00952F3E" w:rsidP="00B66BDD">
      <w:pPr>
        <w:pStyle w:val="af7"/>
        <w:keepNext/>
        <w:suppressLineNumbers/>
        <w:suppressAutoHyphens/>
        <w:contextualSpacing/>
        <w:jc w:val="both"/>
        <w:rPr>
          <w:rFonts w:ascii="Times New Roman" w:eastAsia="Times New Roman" w:hAnsi="Times New Roman"/>
          <w:i/>
          <w:sz w:val="24"/>
          <w:szCs w:val="24"/>
          <w:lang w:eastAsia="ru-RU"/>
        </w:rPr>
      </w:pPr>
      <w:r w:rsidRPr="00B84CBC">
        <w:rPr>
          <w:rFonts w:ascii="Times New Roman" w:eastAsia="Times New Roman" w:hAnsi="Times New Roman"/>
          <w:b/>
          <w:sz w:val="24"/>
          <w:szCs w:val="24"/>
          <w:lang w:eastAsia="ru-RU"/>
        </w:rPr>
        <w:t>Показатель №1</w:t>
      </w:r>
      <w:r w:rsidR="00575AA3" w:rsidRPr="00B84CBC">
        <w:rPr>
          <w:rFonts w:ascii="Times New Roman" w:eastAsia="Times New Roman" w:hAnsi="Times New Roman"/>
          <w:b/>
          <w:sz w:val="24"/>
          <w:szCs w:val="24"/>
          <w:lang w:eastAsia="ru-RU"/>
        </w:rPr>
        <w:t>7</w:t>
      </w:r>
      <w:r w:rsidR="006039EB" w:rsidRPr="00B84CBC">
        <w:rPr>
          <w:rFonts w:ascii="Times New Roman" w:eastAsia="Times New Roman" w:hAnsi="Times New Roman"/>
          <w:b/>
          <w:sz w:val="24"/>
          <w:szCs w:val="24"/>
          <w:lang w:eastAsia="ru-RU"/>
        </w:rPr>
        <w:t xml:space="preserve"> </w:t>
      </w:r>
      <w:r w:rsidR="006039EB" w:rsidRPr="00B84CBC">
        <w:rPr>
          <w:rFonts w:ascii="Times New Roman" w:eastAsia="Times New Roman" w:hAnsi="Times New Roman"/>
          <w:i/>
          <w:sz w:val="24"/>
          <w:szCs w:val="24"/>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851325" w:rsidRPr="00B84CBC" w:rsidRDefault="00851325" w:rsidP="00B66BDD">
      <w:pPr>
        <w:keepNext/>
        <w:suppressLineNumbers/>
        <w:suppressAutoHyphens/>
        <w:ind w:firstLine="567"/>
        <w:contextualSpacing/>
        <w:jc w:val="both"/>
      </w:pPr>
      <w:r w:rsidRPr="00B84CBC">
        <w:t xml:space="preserve">Расходы бюджета МО город Саяногорск на общее образование, в расчете на 1 обучающегося  в муниципальных общеобразовательных учреждениях уменьшились </w:t>
      </w:r>
      <w:r w:rsidR="00A41BD4" w:rsidRPr="00B84CBC">
        <w:t xml:space="preserve">в 2019 году </w:t>
      </w:r>
      <w:r w:rsidRPr="00B84CBC">
        <w:t xml:space="preserve">составили 11,6 тыс. рублей. </w:t>
      </w:r>
    </w:p>
    <w:p w:rsidR="00851325" w:rsidRPr="00B84CBC" w:rsidRDefault="00851325" w:rsidP="00B66BDD">
      <w:pPr>
        <w:keepNext/>
        <w:suppressLineNumbers/>
        <w:suppressAutoHyphens/>
        <w:ind w:firstLine="567"/>
        <w:contextualSpacing/>
        <w:jc w:val="both"/>
      </w:pPr>
      <w:r w:rsidRPr="00B84CBC">
        <w:t>В связи с уменьшением финансировани</w:t>
      </w:r>
      <w:r w:rsidR="00A41BD4" w:rsidRPr="00B84CBC">
        <w:t>я</w:t>
      </w:r>
      <w:r w:rsidRPr="00B84CBC">
        <w:t xml:space="preserve"> из средств местного бюджета в 2019 году в сумме 83 024,2 тыс.руб. (за 2018 год </w:t>
      </w:r>
      <w:r w:rsidR="00A41BD4" w:rsidRPr="00B84CBC">
        <w:t>-</w:t>
      </w:r>
      <w:r w:rsidRPr="00B84CBC">
        <w:t xml:space="preserve"> 129 247,7 тыс.руб), а также увеличение среднегодовой численности обучающих до 7</w:t>
      </w:r>
      <w:r w:rsidR="00A41BD4" w:rsidRPr="00B84CBC">
        <w:t xml:space="preserve"> </w:t>
      </w:r>
      <w:r w:rsidRPr="00B84CBC">
        <w:t>161 (в сравнении с 2018 годом – 7052</w:t>
      </w:r>
      <w:r w:rsidR="00CF3CAF" w:rsidRPr="00B84CBC">
        <w:t xml:space="preserve"> </w:t>
      </w:r>
      <w:r w:rsidRPr="00B84CBC">
        <w:t>обучающихся), уменьшились и расходы на 1 обучающегося.</w:t>
      </w:r>
    </w:p>
    <w:p w:rsidR="00851325" w:rsidRPr="00B84CBC" w:rsidRDefault="00851325" w:rsidP="00B66BDD">
      <w:pPr>
        <w:keepNext/>
        <w:suppressLineNumbers/>
        <w:suppressAutoHyphens/>
        <w:ind w:firstLine="567"/>
        <w:contextualSpacing/>
        <w:jc w:val="both"/>
      </w:pPr>
      <w:r w:rsidRPr="00B84CBC">
        <w:t>В 2018 году за счет средств местного бюджета, расходы осуществлялись на гашение кредиторской задолженности возникшей с 2016 года.</w:t>
      </w:r>
    </w:p>
    <w:p w:rsidR="00E50BAB" w:rsidRPr="00B84CBC" w:rsidRDefault="00E50BAB" w:rsidP="00B66BDD">
      <w:pPr>
        <w:pStyle w:val="af7"/>
        <w:keepNext/>
        <w:suppressLineNumbers/>
        <w:suppressAutoHyphens/>
        <w:contextualSpacing/>
        <w:jc w:val="both"/>
        <w:rPr>
          <w:rFonts w:ascii="Times New Roman" w:eastAsia="Times New Roman" w:hAnsi="Times New Roman"/>
          <w:color w:val="00B050"/>
          <w:sz w:val="10"/>
          <w:szCs w:val="10"/>
          <w:lang w:eastAsia="ru-RU"/>
        </w:rPr>
      </w:pPr>
    </w:p>
    <w:p w:rsidR="006039EB" w:rsidRPr="00B84CBC" w:rsidRDefault="006039EB" w:rsidP="00B66BDD">
      <w:pPr>
        <w:keepNext/>
        <w:suppressLineNumbers/>
        <w:suppressAutoHyphens/>
        <w:contextualSpacing/>
        <w:jc w:val="both"/>
        <w:rPr>
          <w:i/>
        </w:rPr>
      </w:pPr>
      <w:r w:rsidRPr="00B84CBC">
        <w:rPr>
          <w:b/>
        </w:rPr>
        <w:t>Показатель №1</w:t>
      </w:r>
      <w:r w:rsidR="00575AA3" w:rsidRPr="00B84CBC">
        <w:rPr>
          <w:b/>
        </w:rPr>
        <w:t>8</w:t>
      </w:r>
      <w:r w:rsidRPr="00B84CBC">
        <w:rPr>
          <w:i/>
        </w:rPr>
        <w:t xml:space="preserve"> «Доля  детей в возрасте 5-18 лет, получающих услуги по дополнительному образованию в организациях различной организационно-правовой формы и форм собственности, в общей численности детей данной возрастной группе».</w:t>
      </w:r>
    </w:p>
    <w:p w:rsidR="00EE5E23" w:rsidRPr="00B84CBC" w:rsidRDefault="00EE5E23" w:rsidP="00B66BDD">
      <w:pPr>
        <w:keepNext/>
        <w:suppressLineNumbers/>
        <w:suppressAutoHyphens/>
        <w:ind w:firstLine="709"/>
        <w:contextualSpacing/>
        <w:jc w:val="both"/>
        <w:rPr>
          <w:sz w:val="10"/>
          <w:szCs w:val="10"/>
          <w:u w:val="single"/>
        </w:rPr>
      </w:pPr>
    </w:p>
    <w:p w:rsidR="00851325" w:rsidRPr="00B84CBC" w:rsidRDefault="00263351" w:rsidP="00CF3CAF">
      <w:pPr>
        <w:keepNext/>
        <w:suppressLineNumbers/>
        <w:suppressAutoHyphens/>
        <w:ind w:firstLine="709"/>
        <w:contextualSpacing/>
        <w:jc w:val="both"/>
      </w:pPr>
      <w:r w:rsidRPr="00B84CBC">
        <w:rPr>
          <w:u w:val="single"/>
        </w:rPr>
        <w:t>Городской отдел образования г.Саяногорска:</w:t>
      </w:r>
      <w:r w:rsidR="00851325" w:rsidRPr="00B84CBC">
        <w:t xml:space="preserve"> Городской отдел образования ежегодно осуществляет мониторинг занятости детей и подростков  в кружках, секциях, объединениях по интересам.  Данные за 2019 год показывают, что охват детей дополнительным образованием составляет 86,6% (ниже уровня прошлого года на 1,6%),  снижение обусловлено введением ФГОС (открытием кружков и секций в рамках внеурочной деятельности) в общеобразовательных организациях, и сокращением количества кружков в дошкольных образовательных организациях.   </w:t>
      </w:r>
    </w:p>
    <w:p w:rsidR="00263351" w:rsidRPr="00B84CBC" w:rsidRDefault="00263351" w:rsidP="00CF3CAF">
      <w:pPr>
        <w:keepNext/>
        <w:suppressLineNumbers/>
        <w:suppressAutoHyphens/>
        <w:ind w:firstLine="709"/>
        <w:contextualSpacing/>
        <w:jc w:val="both"/>
        <w:rPr>
          <w:u w:val="single"/>
        </w:rPr>
      </w:pPr>
      <w:r w:rsidRPr="00B84CBC">
        <w:rPr>
          <w:u w:val="single"/>
        </w:rPr>
        <w:t xml:space="preserve">Саяногорский городской отдел культуры: </w:t>
      </w:r>
    </w:p>
    <w:p w:rsidR="003029E9" w:rsidRPr="00B84CBC" w:rsidRDefault="003029E9" w:rsidP="00CF3CAF">
      <w:pPr>
        <w:keepNext/>
        <w:suppressLineNumbers/>
        <w:suppressAutoHyphens/>
        <w:ind w:firstLine="709"/>
        <w:contextualSpacing/>
        <w:jc w:val="both"/>
        <w:rPr>
          <w:color w:val="000000"/>
        </w:rPr>
      </w:pPr>
      <w:r w:rsidRPr="00B84CBC">
        <w:rPr>
          <w:color w:val="000000"/>
        </w:rPr>
        <w:t>По итогам 2019 г</w:t>
      </w:r>
      <w:r w:rsidR="00CF3CAF" w:rsidRPr="00B84CBC">
        <w:rPr>
          <w:color w:val="000000"/>
        </w:rPr>
        <w:t>ода</w:t>
      </w:r>
      <w:r w:rsidRPr="00B84CBC">
        <w:rPr>
          <w:color w:val="000000"/>
        </w:rPr>
        <w:t xml:space="preserve"> показатель составил 14,4% (1</w:t>
      </w:r>
      <w:r w:rsidR="00CF3CAF" w:rsidRPr="00B84CBC">
        <w:rPr>
          <w:color w:val="000000"/>
        </w:rPr>
        <w:t xml:space="preserve"> </w:t>
      </w:r>
      <w:r w:rsidRPr="00B84CBC">
        <w:rPr>
          <w:color w:val="000000"/>
        </w:rPr>
        <w:t xml:space="preserve">348 детей от общего числа детского населения </w:t>
      </w:r>
      <w:r w:rsidR="00CF3CAF" w:rsidRPr="00B84CBC">
        <w:rPr>
          <w:color w:val="000000"/>
        </w:rPr>
        <w:t xml:space="preserve">- </w:t>
      </w:r>
      <w:r w:rsidRPr="00B84CBC">
        <w:rPr>
          <w:color w:val="000000"/>
        </w:rPr>
        <w:t>9</w:t>
      </w:r>
      <w:r w:rsidR="00CF3CAF" w:rsidRPr="00B84CBC">
        <w:rPr>
          <w:color w:val="000000"/>
        </w:rPr>
        <w:t xml:space="preserve"> </w:t>
      </w:r>
      <w:r w:rsidRPr="00B84CBC">
        <w:rPr>
          <w:color w:val="000000"/>
        </w:rPr>
        <w:t>346). Отклонение по показателю составляет 5,9% от установленного годового значения. Данное отклонение связано с несостоявшимся набором учащихся на 2019-2020 учебный год по платным услугам (план – 516 человек, факт – 457,  отклонение составило 59 человек), а также большим оттоком детей в течени</w:t>
      </w:r>
      <w:r w:rsidR="00CF3CAF" w:rsidRPr="00B84CBC">
        <w:rPr>
          <w:color w:val="000000"/>
        </w:rPr>
        <w:t xml:space="preserve">е </w:t>
      </w:r>
      <w:r w:rsidRPr="00B84CBC">
        <w:rPr>
          <w:color w:val="000000"/>
        </w:rPr>
        <w:t xml:space="preserve">учебного 2019 года по различным причинам (большая нагрузка в общеобразовательных школах, отъезд). </w:t>
      </w:r>
    </w:p>
    <w:p w:rsidR="003029E9" w:rsidRPr="00B84CBC" w:rsidRDefault="003029E9" w:rsidP="00CF3CAF">
      <w:pPr>
        <w:keepNext/>
        <w:suppressLineNumbers/>
        <w:suppressAutoHyphens/>
        <w:ind w:firstLine="709"/>
        <w:contextualSpacing/>
        <w:jc w:val="both"/>
        <w:rPr>
          <w:color w:val="000000"/>
        </w:rPr>
      </w:pPr>
      <w:r w:rsidRPr="00B84CBC">
        <w:rPr>
          <w:color w:val="000000"/>
        </w:rPr>
        <w:t>С 2020 года отчетную информацию по данному показателю предоставляет отдел городского образования муниципального образования город Саяногорск.</w:t>
      </w:r>
    </w:p>
    <w:p w:rsidR="00BF18F6" w:rsidRPr="00B84CBC" w:rsidRDefault="00BF18F6" w:rsidP="00B66BDD">
      <w:pPr>
        <w:keepNext/>
        <w:suppressLineNumbers/>
        <w:suppressAutoHyphens/>
        <w:contextualSpacing/>
        <w:jc w:val="both"/>
        <w:rPr>
          <w:b/>
          <w:sz w:val="10"/>
          <w:szCs w:val="10"/>
        </w:rPr>
      </w:pPr>
    </w:p>
    <w:p w:rsidR="006039EB" w:rsidRPr="00B84CBC" w:rsidRDefault="006039EB" w:rsidP="00B66BDD">
      <w:pPr>
        <w:keepNext/>
        <w:suppressLineNumbers/>
        <w:suppressAutoHyphens/>
        <w:contextualSpacing/>
        <w:jc w:val="both"/>
        <w:rPr>
          <w:i/>
        </w:rPr>
      </w:pPr>
      <w:r w:rsidRPr="00B84CBC">
        <w:rPr>
          <w:b/>
        </w:rPr>
        <w:t>Показатель №</w:t>
      </w:r>
      <w:r w:rsidR="00575AA3" w:rsidRPr="00B84CBC">
        <w:rPr>
          <w:b/>
        </w:rPr>
        <w:t>19</w:t>
      </w:r>
      <w:r w:rsidRPr="00B84CBC">
        <w:rPr>
          <w:b/>
        </w:rPr>
        <w:t xml:space="preserve"> </w:t>
      </w:r>
      <w:r w:rsidRPr="00B84CBC">
        <w:rPr>
          <w:i/>
        </w:rPr>
        <w:t>«Уровень фактической учреждениями культуры от нормативной потребности:</w:t>
      </w:r>
    </w:p>
    <w:p w:rsidR="00D27A38" w:rsidRPr="00B84CBC" w:rsidRDefault="00D27A38" w:rsidP="00B66BDD">
      <w:pPr>
        <w:keepNext/>
        <w:numPr>
          <w:ilvl w:val="0"/>
          <w:numId w:val="46"/>
        </w:numPr>
        <w:suppressLineNumbers/>
        <w:suppressAutoHyphens/>
        <w:autoSpaceDE w:val="0"/>
        <w:autoSpaceDN w:val="0"/>
        <w:adjustRightInd w:val="0"/>
        <w:ind w:left="284" w:hanging="284"/>
        <w:contextualSpacing/>
        <w:rPr>
          <w:rFonts w:eastAsia="Calibri"/>
          <w:i/>
          <w:iCs/>
        </w:rPr>
      </w:pPr>
      <w:r w:rsidRPr="00B84CBC">
        <w:rPr>
          <w:rFonts w:eastAsia="Calibri"/>
          <w:i/>
          <w:iCs/>
        </w:rPr>
        <w:t>клубами и учреждениями клубного типа</w:t>
      </w:r>
    </w:p>
    <w:p w:rsidR="00D27A38" w:rsidRPr="00B84CBC" w:rsidRDefault="00D27A38" w:rsidP="00B66BDD">
      <w:pPr>
        <w:keepNext/>
        <w:numPr>
          <w:ilvl w:val="0"/>
          <w:numId w:val="46"/>
        </w:numPr>
        <w:suppressLineNumbers/>
        <w:suppressAutoHyphens/>
        <w:autoSpaceDE w:val="0"/>
        <w:autoSpaceDN w:val="0"/>
        <w:adjustRightInd w:val="0"/>
        <w:ind w:left="284" w:hanging="284"/>
        <w:contextualSpacing/>
        <w:rPr>
          <w:rFonts w:eastAsia="Calibri"/>
          <w:i/>
          <w:iCs/>
        </w:rPr>
      </w:pPr>
      <w:r w:rsidRPr="00B84CBC">
        <w:rPr>
          <w:rFonts w:eastAsia="Calibri"/>
          <w:i/>
          <w:iCs/>
        </w:rPr>
        <w:t>библиотеками</w:t>
      </w:r>
    </w:p>
    <w:p w:rsidR="00D27A38" w:rsidRPr="00B84CBC" w:rsidRDefault="00D27A38" w:rsidP="00B66BDD">
      <w:pPr>
        <w:keepNext/>
        <w:numPr>
          <w:ilvl w:val="0"/>
          <w:numId w:val="46"/>
        </w:numPr>
        <w:suppressLineNumbers/>
        <w:suppressAutoHyphens/>
        <w:autoSpaceDE w:val="0"/>
        <w:autoSpaceDN w:val="0"/>
        <w:adjustRightInd w:val="0"/>
        <w:ind w:left="284" w:hanging="284"/>
        <w:contextualSpacing/>
        <w:rPr>
          <w:rFonts w:eastAsia="Calibri"/>
          <w:i/>
          <w:iCs/>
        </w:rPr>
      </w:pPr>
      <w:r w:rsidRPr="00B84CBC">
        <w:rPr>
          <w:rFonts w:eastAsia="Calibri"/>
          <w:i/>
          <w:iCs/>
        </w:rPr>
        <w:t>парками культуры и отдыха».</w:t>
      </w:r>
    </w:p>
    <w:p w:rsidR="003029E9" w:rsidRPr="00B84CBC" w:rsidRDefault="003029E9" w:rsidP="00CF3CAF">
      <w:pPr>
        <w:keepNext/>
        <w:suppressLineNumbers/>
        <w:suppressAutoHyphens/>
        <w:ind w:firstLine="709"/>
        <w:contextualSpacing/>
        <w:jc w:val="both"/>
        <w:rPr>
          <w:color w:val="000000"/>
        </w:rPr>
      </w:pPr>
      <w:r w:rsidRPr="00B84CBC">
        <w:rPr>
          <w:color w:val="000000"/>
          <w:u w:val="single"/>
        </w:rPr>
        <w:t>Обеспеченность клубами и учреждениями клубного типа</w:t>
      </w:r>
      <w:r w:rsidRPr="00B84CBC">
        <w:rPr>
          <w:color w:val="000000"/>
        </w:rPr>
        <w:t xml:space="preserve"> за 2019</w:t>
      </w:r>
      <w:r w:rsidR="00CF3CAF" w:rsidRPr="00B84CBC">
        <w:rPr>
          <w:color w:val="000000"/>
        </w:rPr>
        <w:t xml:space="preserve"> год </w:t>
      </w:r>
      <w:r w:rsidRPr="00B84CBC">
        <w:rPr>
          <w:color w:val="000000"/>
        </w:rPr>
        <w:t>составляет 81,1%  (расчет данного показателя производится от норматива среднего количества зрительских мест в клубах и учреждениях клубного типа на 1</w:t>
      </w:r>
      <w:r w:rsidR="00CF3CAF" w:rsidRPr="00B84CBC">
        <w:rPr>
          <w:color w:val="000000"/>
        </w:rPr>
        <w:t xml:space="preserve"> </w:t>
      </w:r>
      <w:r w:rsidRPr="00B84CBC">
        <w:rPr>
          <w:color w:val="000000"/>
        </w:rPr>
        <w:t>000 жителей и должен составлять 59</w:t>
      </w:r>
      <w:r w:rsidR="00CF3CAF" w:rsidRPr="00B84CBC">
        <w:rPr>
          <w:color w:val="000000"/>
        </w:rPr>
        <w:t xml:space="preserve"> </w:t>
      </w:r>
      <w:r w:rsidRPr="00B84CBC">
        <w:rPr>
          <w:color w:val="000000"/>
        </w:rPr>
        <w:t>189/1</w:t>
      </w:r>
      <w:r w:rsidR="00CF3CAF" w:rsidRPr="00B84CBC">
        <w:rPr>
          <w:color w:val="000000"/>
        </w:rPr>
        <w:t xml:space="preserve"> </w:t>
      </w:r>
      <w:r w:rsidRPr="00B84CBC">
        <w:rPr>
          <w:color w:val="000000"/>
        </w:rPr>
        <w:t>000*25 =1</w:t>
      </w:r>
      <w:r w:rsidR="00CF3CAF" w:rsidRPr="00B84CBC">
        <w:rPr>
          <w:color w:val="000000"/>
        </w:rPr>
        <w:t xml:space="preserve"> </w:t>
      </w:r>
      <w:r w:rsidRPr="00B84CBC">
        <w:rPr>
          <w:color w:val="000000"/>
        </w:rPr>
        <w:t>480 мест</w:t>
      </w:r>
      <w:r w:rsidR="00CF3CAF" w:rsidRPr="00B84CBC">
        <w:rPr>
          <w:color w:val="000000"/>
        </w:rPr>
        <w:t>)</w:t>
      </w:r>
      <w:r w:rsidRPr="00B84CBC">
        <w:rPr>
          <w:color w:val="000000"/>
        </w:rPr>
        <w:t xml:space="preserve">. Фактически зрительских мест </w:t>
      </w:r>
      <w:r w:rsidR="00CF3CAF" w:rsidRPr="00B84CBC">
        <w:rPr>
          <w:color w:val="000000"/>
        </w:rPr>
        <w:t xml:space="preserve">– </w:t>
      </w:r>
      <w:r w:rsidRPr="00B84CBC">
        <w:rPr>
          <w:color w:val="000000"/>
        </w:rPr>
        <w:t>1</w:t>
      </w:r>
      <w:r w:rsidR="00CF3CAF" w:rsidRPr="00B84CBC">
        <w:rPr>
          <w:color w:val="000000"/>
        </w:rPr>
        <w:t xml:space="preserve"> </w:t>
      </w:r>
      <w:r w:rsidRPr="00B84CBC">
        <w:rPr>
          <w:color w:val="000000"/>
        </w:rPr>
        <w:t>200, следовательно процент обеспеченности составляет 81,1% (1</w:t>
      </w:r>
      <w:r w:rsidR="00CF3CAF" w:rsidRPr="00B84CBC">
        <w:rPr>
          <w:color w:val="000000"/>
        </w:rPr>
        <w:t xml:space="preserve"> </w:t>
      </w:r>
      <w:r w:rsidRPr="00B84CBC">
        <w:rPr>
          <w:color w:val="000000"/>
        </w:rPr>
        <w:t>200*100</w:t>
      </w:r>
      <w:r w:rsidR="00CF3CAF" w:rsidRPr="00B84CBC">
        <w:rPr>
          <w:color w:val="000000"/>
        </w:rPr>
        <w:t xml:space="preserve"> </w:t>
      </w:r>
      <w:r w:rsidRPr="00B84CBC">
        <w:rPr>
          <w:color w:val="000000"/>
        </w:rPr>
        <w:t>/</w:t>
      </w:r>
      <w:r w:rsidR="00CF3CAF" w:rsidRPr="00B84CBC">
        <w:rPr>
          <w:color w:val="000000"/>
        </w:rPr>
        <w:t xml:space="preserve"> </w:t>
      </w:r>
      <w:r w:rsidRPr="00B84CBC">
        <w:rPr>
          <w:color w:val="000000"/>
        </w:rPr>
        <w:t>1</w:t>
      </w:r>
      <w:r w:rsidR="00CF3CAF" w:rsidRPr="00B84CBC">
        <w:rPr>
          <w:color w:val="000000"/>
        </w:rPr>
        <w:t xml:space="preserve"> </w:t>
      </w:r>
      <w:r w:rsidRPr="00B84CBC">
        <w:rPr>
          <w:color w:val="000000"/>
        </w:rPr>
        <w:t>480). Изменение показателя по сравнению с аналогичным периодом 2018 г</w:t>
      </w:r>
      <w:r w:rsidR="00CF3CAF" w:rsidRPr="00B84CBC">
        <w:rPr>
          <w:color w:val="000000"/>
        </w:rPr>
        <w:t>ода</w:t>
      </w:r>
      <w:r w:rsidRPr="00B84CBC">
        <w:rPr>
          <w:color w:val="000000"/>
        </w:rPr>
        <w:t xml:space="preserve"> обусловлено изменением численности населения.</w:t>
      </w:r>
    </w:p>
    <w:p w:rsidR="00245E2F" w:rsidRPr="00B84CBC" w:rsidRDefault="00245E2F" w:rsidP="00245E2F">
      <w:pPr>
        <w:keepNext/>
        <w:suppressLineNumbers/>
        <w:suppressAutoHyphens/>
        <w:autoSpaceDE w:val="0"/>
        <w:autoSpaceDN w:val="0"/>
        <w:adjustRightInd w:val="0"/>
        <w:ind w:firstLine="708"/>
        <w:contextualSpacing/>
        <w:rPr>
          <w:rFonts w:eastAsia="Calibri"/>
          <w:iCs/>
          <w:u w:val="single"/>
        </w:rPr>
      </w:pPr>
      <w:r w:rsidRPr="00B84CBC">
        <w:rPr>
          <w:u w:val="single"/>
        </w:rPr>
        <w:t xml:space="preserve">Обеспеченность  </w:t>
      </w:r>
      <w:r w:rsidRPr="00B84CBC">
        <w:rPr>
          <w:rFonts w:eastAsia="Calibri"/>
          <w:iCs/>
          <w:u w:val="single"/>
        </w:rPr>
        <w:t>библиотеками:</w:t>
      </w:r>
    </w:p>
    <w:p w:rsidR="00245E2F" w:rsidRPr="00B84CBC" w:rsidRDefault="003029E9" w:rsidP="00245E2F">
      <w:pPr>
        <w:keepNext/>
        <w:suppressLineNumbers/>
        <w:suppressAutoHyphens/>
        <w:ind w:firstLine="708"/>
        <w:contextualSpacing/>
        <w:jc w:val="both"/>
        <w:rPr>
          <w:color w:val="000000"/>
        </w:rPr>
      </w:pPr>
      <w:r w:rsidRPr="00B84CBC">
        <w:rPr>
          <w:color w:val="000000"/>
        </w:rPr>
        <w:t xml:space="preserve">Согласно </w:t>
      </w:r>
      <w:r w:rsidR="00245E2F" w:rsidRPr="00B84CBC">
        <w:rPr>
          <w:color w:val="000000"/>
        </w:rPr>
        <w:t>р</w:t>
      </w:r>
      <w:r w:rsidRPr="00B84CBC">
        <w:rPr>
          <w:color w:val="000000"/>
        </w:rPr>
        <w:t xml:space="preserve">аспоряжению Министерства культуры </w:t>
      </w:r>
      <w:r w:rsidR="003341FE" w:rsidRPr="00B84CBC">
        <w:rPr>
          <w:color w:val="000000"/>
        </w:rPr>
        <w:t xml:space="preserve">Российской Федерации от 02.08.2017 </w:t>
      </w:r>
      <w:r w:rsidRPr="00B84CBC">
        <w:rPr>
          <w:color w:val="000000"/>
        </w:rPr>
        <w:t>№ Р-965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количество библиотек должно составлять на 20 000 чел.- 1 библиотека, на 10</w:t>
      </w:r>
      <w:r w:rsidR="003341FE" w:rsidRPr="00B84CBC">
        <w:rPr>
          <w:color w:val="000000"/>
        </w:rPr>
        <w:t xml:space="preserve"> </w:t>
      </w:r>
      <w:r w:rsidRPr="00B84CBC">
        <w:rPr>
          <w:color w:val="000000"/>
        </w:rPr>
        <w:t>000 детского населения - 1 библиотека. Согласно нормам размещения библиотек в городском округе и городском поселении создается общедоступная библиотека, которая наделяется статусом центральной библиотеки. Таким образом, расчетный норматив составляет 5 библиотек: 1 библиотека для детского населения, 3 филиала библиотеки для взрослого 1 библиотека со статусом центральной. Уровень фактической обеспеченности учреждениями культуры от нормативной потребности библиотеками рас</w:t>
      </w:r>
      <w:r w:rsidR="003341FE" w:rsidRPr="00B84CBC">
        <w:rPr>
          <w:color w:val="000000"/>
        </w:rPr>
        <w:t>с</w:t>
      </w:r>
      <w:r w:rsidRPr="00B84CBC">
        <w:rPr>
          <w:color w:val="000000"/>
        </w:rPr>
        <w:t>читывается:</w:t>
      </w:r>
      <w:r w:rsidR="00606D16" w:rsidRPr="00B84CBC">
        <w:rPr>
          <w:color w:val="000000"/>
        </w:rPr>
        <w:t xml:space="preserve"> </w:t>
      </w:r>
    </w:p>
    <w:p w:rsidR="00245E2F" w:rsidRPr="00B84CBC" w:rsidRDefault="003029E9" w:rsidP="00245E2F">
      <w:pPr>
        <w:keepNext/>
        <w:suppressLineNumbers/>
        <w:suppressAutoHyphens/>
        <w:contextualSpacing/>
        <w:jc w:val="center"/>
        <w:rPr>
          <w:color w:val="000000"/>
        </w:rPr>
      </w:pPr>
      <w:r w:rsidRPr="00B84CBC">
        <w:rPr>
          <w:color w:val="000000"/>
        </w:rPr>
        <w:t>КБ+0,09*ОВО</w:t>
      </w:r>
      <w:r w:rsidR="003341FE" w:rsidRPr="00B84CBC">
        <w:rPr>
          <w:color w:val="000000"/>
        </w:rPr>
        <w:t xml:space="preserve"> </w:t>
      </w:r>
      <w:r w:rsidRPr="00B84CBC">
        <w:rPr>
          <w:color w:val="000000"/>
        </w:rPr>
        <w:t>/</w:t>
      </w:r>
      <w:r w:rsidR="003341FE" w:rsidRPr="00B84CBC">
        <w:rPr>
          <w:color w:val="000000"/>
        </w:rPr>
        <w:t xml:space="preserve"> </w:t>
      </w:r>
      <w:r w:rsidRPr="00B84CBC">
        <w:rPr>
          <w:color w:val="000000"/>
        </w:rPr>
        <w:t>ББКнорм*100</w:t>
      </w:r>
      <w:r w:rsidR="00245E2F" w:rsidRPr="00B84CBC">
        <w:rPr>
          <w:color w:val="000000"/>
        </w:rPr>
        <w:t>,</w:t>
      </w:r>
    </w:p>
    <w:p w:rsidR="00245E2F" w:rsidRPr="00B84CBC" w:rsidRDefault="00245E2F" w:rsidP="00245E2F">
      <w:pPr>
        <w:keepNext/>
        <w:suppressLineNumbers/>
        <w:suppressAutoHyphens/>
        <w:contextualSpacing/>
        <w:jc w:val="both"/>
        <w:rPr>
          <w:color w:val="000000"/>
        </w:rPr>
      </w:pPr>
      <w:r w:rsidRPr="00B84CBC">
        <w:rPr>
          <w:color w:val="000000"/>
        </w:rPr>
        <w:t xml:space="preserve">где: ББКнорм – требуемое количество общедоступных библиотек в соответствии с утвержденным нормативом, </w:t>
      </w:r>
    </w:p>
    <w:p w:rsidR="00245E2F" w:rsidRPr="00B84CBC" w:rsidRDefault="00245E2F" w:rsidP="00245E2F">
      <w:pPr>
        <w:keepNext/>
        <w:suppressLineNumbers/>
        <w:suppressAutoHyphens/>
        <w:contextualSpacing/>
        <w:jc w:val="both"/>
        <w:rPr>
          <w:color w:val="000000"/>
        </w:rPr>
      </w:pPr>
      <w:r w:rsidRPr="00B84CBC">
        <w:rPr>
          <w:color w:val="000000"/>
        </w:rPr>
        <w:t>КБ – общее число библиотек и библиотек-филиалов на конец отчетного года;</w:t>
      </w:r>
    </w:p>
    <w:p w:rsidR="00245E2F" w:rsidRPr="00B84CBC" w:rsidRDefault="00245E2F" w:rsidP="00245E2F">
      <w:pPr>
        <w:keepNext/>
        <w:suppressLineNumbers/>
        <w:suppressAutoHyphens/>
        <w:contextualSpacing/>
        <w:jc w:val="both"/>
        <w:rPr>
          <w:color w:val="000000"/>
        </w:rPr>
      </w:pPr>
      <w:r w:rsidRPr="00B84CBC">
        <w:rPr>
          <w:color w:val="000000"/>
        </w:rPr>
        <w:t>ОВО – число отделов внестационарного обслуживания (библиотечных пунктов)</w:t>
      </w:r>
    </w:p>
    <w:p w:rsidR="003029E9" w:rsidRPr="00B84CBC" w:rsidRDefault="003029E9" w:rsidP="00CF3CAF">
      <w:pPr>
        <w:keepNext/>
        <w:suppressLineNumbers/>
        <w:suppressAutoHyphens/>
        <w:ind w:firstLine="709"/>
        <w:contextualSpacing/>
        <w:jc w:val="both"/>
        <w:rPr>
          <w:color w:val="000000"/>
        </w:rPr>
      </w:pPr>
      <w:r w:rsidRPr="00B84CBC">
        <w:rPr>
          <w:color w:val="000000"/>
        </w:rPr>
        <w:t>На высокий уровень обеспеченности повлияла сеть нестационарного обслуживания, которая учитывается при расчетах.</w:t>
      </w:r>
      <w:r w:rsidR="00245E2F" w:rsidRPr="00B84CBC">
        <w:rPr>
          <w:color w:val="000000"/>
        </w:rPr>
        <w:t xml:space="preserve"> </w:t>
      </w:r>
      <w:r w:rsidRPr="00B84CBC">
        <w:rPr>
          <w:color w:val="000000"/>
        </w:rPr>
        <w:t xml:space="preserve">Изменение показателя </w:t>
      </w:r>
      <w:r w:rsidR="00245E2F" w:rsidRPr="00B84CBC">
        <w:rPr>
          <w:color w:val="000000"/>
        </w:rPr>
        <w:t xml:space="preserve">в течение 2019 года (6+(0,09*4)) / 5*100 = 127,2% </w:t>
      </w:r>
      <w:r w:rsidRPr="00B84CBC">
        <w:rPr>
          <w:color w:val="000000"/>
        </w:rPr>
        <w:t>связано с открытием дополнительного внестационарного пункта в Детской библиотеке. С 2020 года значение показателя изменится в связи с закрытием двух отделов внестационарного обслуживания в Библиотеке «Радуга» и в Детской библиотеке и составит (6+(0,09*2))</w:t>
      </w:r>
      <w:r w:rsidR="00245E2F" w:rsidRPr="00B84CBC">
        <w:rPr>
          <w:color w:val="000000"/>
        </w:rPr>
        <w:t xml:space="preserve"> </w:t>
      </w:r>
      <w:r w:rsidRPr="00B84CBC">
        <w:rPr>
          <w:color w:val="000000"/>
        </w:rPr>
        <w:t>/</w:t>
      </w:r>
      <w:r w:rsidR="00245E2F" w:rsidRPr="00B84CBC">
        <w:rPr>
          <w:color w:val="000000"/>
        </w:rPr>
        <w:t xml:space="preserve"> </w:t>
      </w:r>
      <w:r w:rsidRPr="00B84CBC">
        <w:rPr>
          <w:color w:val="000000"/>
        </w:rPr>
        <w:t>5*100)</w:t>
      </w:r>
      <w:r w:rsidR="00245E2F" w:rsidRPr="00B84CBC">
        <w:rPr>
          <w:color w:val="000000"/>
        </w:rPr>
        <w:t xml:space="preserve"> = 123,6%.</w:t>
      </w:r>
    </w:p>
    <w:p w:rsidR="003029E9" w:rsidRPr="00B84CBC" w:rsidRDefault="00245E2F" w:rsidP="00CF3CAF">
      <w:pPr>
        <w:keepNext/>
        <w:suppressLineNumbers/>
        <w:suppressAutoHyphens/>
        <w:ind w:firstLine="709"/>
        <w:contextualSpacing/>
        <w:jc w:val="both"/>
        <w:rPr>
          <w:color w:val="000000"/>
        </w:rPr>
      </w:pPr>
      <w:r w:rsidRPr="00B84CBC">
        <w:rPr>
          <w:u w:val="single"/>
        </w:rPr>
        <w:t>Обеспеченность  п</w:t>
      </w:r>
      <w:r w:rsidR="003029E9" w:rsidRPr="00B84CBC">
        <w:rPr>
          <w:color w:val="000000"/>
          <w:u w:val="single"/>
        </w:rPr>
        <w:t>арк</w:t>
      </w:r>
      <w:r w:rsidRPr="00B84CBC">
        <w:rPr>
          <w:color w:val="000000"/>
          <w:u w:val="single"/>
        </w:rPr>
        <w:t>ами</w:t>
      </w:r>
      <w:r w:rsidR="003029E9" w:rsidRPr="00B84CBC">
        <w:rPr>
          <w:color w:val="000000"/>
          <w:u w:val="single"/>
        </w:rPr>
        <w:t xml:space="preserve"> культуры и отдыха</w:t>
      </w:r>
      <w:r w:rsidR="003029E9" w:rsidRPr="00B84CBC">
        <w:rPr>
          <w:color w:val="000000"/>
        </w:rPr>
        <w:t xml:space="preserve"> </w:t>
      </w:r>
      <w:r w:rsidRPr="00B84CBC">
        <w:rPr>
          <w:color w:val="000000"/>
        </w:rPr>
        <w:t>– 0.</w:t>
      </w:r>
    </w:p>
    <w:p w:rsidR="00606D16" w:rsidRPr="00B84CBC" w:rsidRDefault="00606D16" w:rsidP="00B66BDD">
      <w:pPr>
        <w:keepNext/>
        <w:suppressLineNumbers/>
        <w:suppressAutoHyphens/>
        <w:ind w:firstLine="643"/>
        <w:contextualSpacing/>
        <w:jc w:val="both"/>
        <w:rPr>
          <w:color w:val="000000"/>
          <w:sz w:val="10"/>
          <w:szCs w:val="10"/>
        </w:rPr>
      </w:pPr>
    </w:p>
    <w:p w:rsidR="006039EB" w:rsidRPr="00B84CBC" w:rsidRDefault="006039EB" w:rsidP="00B66BDD">
      <w:pPr>
        <w:keepNext/>
        <w:suppressLineNumbers/>
        <w:suppressAutoHyphens/>
        <w:contextualSpacing/>
        <w:jc w:val="both"/>
        <w:rPr>
          <w:i/>
        </w:rPr>
      </w:pPr>
      <w:r w:rsidRPr="00B84CBC">
        <w:rPr>
          <w:b/>
        </w:rPr>
        <w:t>Показатель №</w:t>
      </w:r>
      <w:r w:rsidR="001C0626" w:rsidRPr="00B84CBC">
        <w:rPr>
          <w:b/>
        </w:rPr>
        <w:t>2</w:t>
      </w:r>
      <w:r w:rsidR="00575AA3" w:rsidRPr="00B84CBC">
        <w:rPr>
          <w:b/>
        </w:rPr>
        <w:t>0</w:t>
      </w:r>
      <w:r w:rsidRPr="00B84CBC">
        <w:rPr>
          <w:b/>
          <w:i/>
        </w:rPr>
        <w:t xml:space="preserve"> </w:t>
      </w:r>
      <w:r w:rsidRPr="00B84CBC">
        <w:rPr>
          <w:i/>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p>
    <w:p w:rsidR="003029E9" w:rsidRPr="00B84CBC" w:rsidRDefault="00621CFC" w:rsidP="00B66BDD">
      <w:pPr>
        <w:pStyle w:val="a7"/>
        <w:keepNext/>
        <w:suppressLineNumbers/>
        <w:tabs>
          <w:tab w:val="clear" w:pos="9355"/>
          <w:tab w:val="left" w:pos="9354"/>
        </w:tabs>
        <w:suppressAutoHyphens/>
        <w:ind w:firstLine="567"/>
        <w:contextualSpacing/>
        <w:jc w:val="both"/>
        <w:rPr>
          <w:color w:val="000000"/>
        </w:rPr>
      </w:pPr>
      <w:r w:rsidRPr="00B84CBC">
        <w:lastRenderedPageBreak/>
        <w:t xml:space="preserve">На территории МО г.Саяногорск муниципальные учреждения культуры, здания которых находятся </w:t>
      </w:r>
      <w:r w:rsidR="00D77138" w:rsidRPr="00B84CBC">
        <w:t>в аварийном состоянии или требуют капитального ремонта, на которые составлена дефектная ведомость (акт) на капитальный ремонт и утверждена местными органами управления, отсутствуют</w:t>
      </w:r>
      <w:r w:rsidRPr="00B84CBC">
        <w:t>.</w:t>
      </w:r>
      <w:r w:rsidR="003029E9" w:rsidRPr="00B84CBC">
        <w:t xml:space="preserve"> Показатель равен нулю.</w:t>
      </w:r>
    </w:p>
    <w:p w:rsidR="00AC4898" w:rsidRPr="00B84CBC" w:rsidRDefault="00AC4898" w:rsidP="00B66BDD">
      <w:pPr>
        <w:keepNext/>
        <w:suppressLineNumbers/>
        <w:suppressAutoHyphens/>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Показатель №2</w:t>
      </w:r>
      <w:r w:rsidR="00575AA3" w:rsidRPr="00B84CBC">
        <w:rPr>
          <w:b/>
        </w:rPr>
        <w:t>1</w:t>
      </w:r>
      <w:r w:rsidRPr="00B84CBC">
        <w:rPr>
          <w:b/>
          <w:i/>
        </w:rPr>
        <w:t xml:space="preserve"> </w:t>
      </w:r>
      <w:r w:rsidRPr="00B84CBC">
        <w:rPr>
          <w:i/>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11621B" w:rsidRPr="00B84CBC" w:rsidRDefault="0011621B" w:rsidP="00B66BDD">
      <w:pPr>
        <w:keepNext/>
        <w:suppressLineNumbers/>
        <w:suppressAutoHyphens/>
        <w:ind w:firstLine="720"/>
        <w:contextualSpacing/>
        <w:jc w:val="both"/>
      </w:pPr>
      <w:r w:rsidRPr="00B84CBC">
        <w:t>На территории МО г.Саяногорск объекты культурного наследия</w:t>
      </w:r>
      <w:r w:rsidR="001C0626" w:rsidRPr="00B84CBC">
        <w:t>, находящиеся в муниципальной собственности и требующие консервации или реставрации,</w:t>
      </w:r>
      <w:r w:rsidR="001C0626" w:rsidRPr="00B84CBC">
        <w:rPr>
          <w:i/>
        </w:rPr>
        <w:t xml:space="preserve"> </w:t>
      </w:r>
      <w:r w:rsidRPr="00B84CBC">
        <w:t>отсутствуют.</w:t>
      </w:r>
      <w:r w:rsidR="003029E9" w:rsidRPr="00B84CBC">
        <w:t xml:space="preserve"> Показатель равен нулю.</w:t>
      </w:r>
    </w:p>
    <w:p w:rsidR="006039EB" w:rsidRPr="00B84CBC" w:rsidRDefault="006039EB" w:rsidP="00B66BDD">
      <w:pPr>
        <w:keepNext/>
        <w:suppressLineNumbers/>
        <w:suppressAutoHyphens/>
        <w:contextualSpacing/>
        <w:jc w:val="both"/>
        <w:rPr>
          <w:sz w:val="10"/>
          <w:szCs w:val="10"/>
        </w:rPr>
      </w:pPr>
    </w:p>
    <w:p w:rsidR="006039EB" w:rsidRPr="00B84CBC" w:rsidRDefault="009C36B8" w:rsidP="00B66BDD">
      <w:pPr>
        <w:keepNext/>
        <w:suppressLineNumbers/>
        <w:suppressAutoHyphens/>
        <w:contextualSpacing/>
        <w:jc w:val="both"/>
        <w:rPr>
          <w:i/>
        </w:rPr>
      </w:pPr>
      <w:r w:rsidRPr="00B84CBC">
        <w:rPr>
          <w:b/>
        </w:rPr>
        <w:t>Показатель № 2</w:t>
      </w:r>
      <w:r w:rsidR="00575AA3" w:rsidRPr="00B84CBC">
        <w:rPr>
          <w:b/>
        </w:rPr>
        <w:t>2</w:t>
      </w:r>
      <w:r w:rsidR="006039EB" w:rsidRPr="00B84CBC">
        <w:rPr>
          <w:b/>
        </w:rPr>
        <w:t xml:space="preserve"> </w:t>
      </w:r>
      <w:r w:rsidR="006039EB" w:rsidRPr="00B84CBC">
        <w:rPr>
          <w:i/>
        </w:rPr>
        <w:t>«Доля населения систематически занимающегося физической культурой и спортом».</w:t>
      </w:r>
    </w:p>
    <w:p w:rsidR="00A76F58" w:rsidRPr="00B84CBC" w:rsidRDefault="00080E33" w:rsidP="00B66BDD">
      <w:pPr>
        <w:keepNext/>
        <w:suppressLineNumbers/>
        <w:tabs>
          <w:tab w:val="left" w:pos="0"/>
        </w:tabs>
        <w:suppressAutoHyphens/>
        <w:ind w:right="-2" w:firstLine="568"/>
        <w:contextualSpacing/>
        <w:jc w:val="both"/>
      </w:pPr>
      <w:r w:rsidRPr="00B84CBC">
        <w:t xml:space="preserve">По данным статистического наблюдения на территории муниципального образования город Саяногорск данный показатель неуклонно растет. </w:t>
      </w:r>
      <w:r w:rsidR="00A76F58" w:rsidRPr="00B84CBC">
        <w:t xml:space="preserve">С каждым годом увеличивается количество участников массовых спортивных мероприятий, гораздо больше внимания стали уделять развитию физической культуры и спорта на предприятиях чему также способствовали: заинтересованность первых руководителей предприятий и тесная связь спортивной общественности предприятий, организацией с Комитетом по делам молодежи, физической культуре и спорту. </w:t>
      </w:r>
    </w:p>
    <w:p w:rsidR="00A76F58" w:rsidRPr="00B84CBC" w:rsidRDefault="00A76F58" w:rsidP="00B66BDD">
      <w:pPr>
        <w:keepNext/>
        <w:suppressLineNumbers/>
        <w:suppressAutoHyphens/>
        <w:ind w:firstLine="708"/>
        <w:contextualSpacing/>
        <w:jc w:val="both"/>
      </w:pPr>
      <w:r w:rsidRPr="00B84CBC">
        <w:t>Активно ведется пропаганда здорового образа жизни в средствах массовой информации, в социальных сетях, в связи, с чем у населения формируется ответственное отношение к своему здоровью.</w:t>
      </w:r>
    </w:p>
    <w:p w:rsidR="00A76F58" w:rsidRPr="00B84CBC" w:rsidRDefault="00A76F58" w:rsidP="00B66BDD">
      <w:pPr>
        <w:keepNext/>
        <w:suppressLineNumbers/>
        <w:suppressAutoHyphens/>
        <w:ind w:firstLine="708"/>
        <w:contextualSpacing/>
        <w:jc w:val="both"/>
      </w:pPr>
      <w:r w:rsidRPr="00B84CBC">
        <w:t xml:space="preserve"> Популяризации спорта и физкультуры способствует и вовлечение населения муниципального образования в сдачу норм Всероссийского физкультурно-спортивного комплекса «Готов к труду и обороне». В 2019 году 700 жителей от 6 до 70 лет приняли участие в сдаче норм ГТО.</w:t>
      </w:r>
    </w:p>
    <w:p w:rsidR="00A76F58" w:rsidRPr="00B84CBC" w:rsidRDefault="00A76F58" w:rsidP="00B66BDD">
      <w:pPr>
        <w:keepNext/>
        <w:suppressLineNumbers/>
        <w:suppressAutoHyphens/>
        <w:ind w:firstLine="708"/>
        <w:contextualSpacing/>
        <w:jc w:val="both"/>
      </w:pPr>
      <w:r w:rsidRPr="00B84CBC">
        <w:t xml:space="preserve">Все вышеперечисленные факты привели к тому, что по сравнению с 2018 годом число саяногорцев, систематически занимающихся физической культурой и спортом, увеличилось на 10,8% и составляет в 2019 году </w:t>
      </w:r>
      <w:r w:rsidR="00245E2F" w:rsidRPr="00B84CBC">
        <w:t xml:space="preserve">- </w:t>
      </w:r>
      <w:r w:rsidRPr="00B84CBC">
        <w:t xml:space="preserve">45% от общего населения </w:t>
      </w:r>
      <w:r w:rsidR="00245E2F" w:rsidRPr="00B84CBC">
        <w:t xml:space="preserve">МО г.Саяногорск </w:t>
      </w:r>
      <w:r w:rsidRPr="00B84CBC">
        <w:t>в возрасте от 3 до 79 лет.</w:t>
      </w:r>
      <w:r w:rsidR="00245E2F" w:rsidRPr="00B84CBC">
        <w:t xml:space="preserve"> </w:t>
      </w:r>
      <w:r w:rsidRPr="00B84CBC">
        <w:t>Предполагается, что данный показатель будет расти и составит в 2020</w:t>
      </w:r>
      <w:r w:rsidR="00245E2F" w:rsidRPr="00B84CBC">
        <w:t xml:space="preserve"> году </w:t>
      </w:r>
      <w:r w:rsidRPr="00B84CBC">
        <w:t>-</w:t>
      </w:r>
      <w:r w:rsidR="00245E2F" w:rsidRPr="00B84CBC">
        <w:t xml:space="preserve"> </w:t>
      </w:r>
      <w:r w:rsidRPr="00B84CBC">
        <w:t xml:space="preserve">46,7%,  </w:t>
      </w:r>
      <w:r w:rsidR="00245E2F" w:rsidRPr="00B84CBC">
        <w:t xml:space="preserve">в </w:t>
      </w:r>
      <w:r w:rsidRPr="00B84CBC">
        <w:t>2021</w:t>
      </w:r>
      <w:r w:rsidR="00245E2F" w:rsidRPr="00B84CBC">
        <w:t xml:space="preserve"> году </w:t>
      </w:r>
      <w:r w:rsidRPr="00B84CBC">
        <w:t>-</w:t>
      </w:r>
      <w:r w:rsidR="00245E2F" w:rsidRPr="00B84CBC">
        <w:t xml:space="preserve"> </w:t>
      </w:r>
      <w:r w:rsidRPr="00B84CBC">
        <w:t xml:space="preserve">48,7%, </w:t>
      </w:r>
      <w:r w:rsidR="00245E2F" w:rsidRPr="00B84CBC">
        <w:t>в</w:t>
      </w:r>
      <w:r w:rsidRPr="00B84CBC">
        <w:t xml:space="preserve"> 2022  году </w:t>
      </w:r>
      <w:r w:rsidR="00245E2F" w:rsidRPr="00B84CBC">
        <w:t>-</w:t>
      </w:r>
      <w:r w:rsidRPr="00B84CBC">
        <w:t xml:space="preserve"> 51,6%.</w:t>
      </w:r>
    </w:p>
    <w:p w:rsidR="006955DE" w:rsidRPr="00B84CBC" w:rsidRDefault="006955DE" w:rsidP="00B66BDD">
      <w:pPr>
        <w:keepNext/>
        <w:suppressLineNumbers/>
        <w:suppressAutoHyphens/>
        <w:ind w:firstLine="708"/>
        <w:contextualSpacing/>
        <w:jc w:val="both"/>
        <w:rPr>
          <w:sz w:val="10"/>
          <w:szCs w:val="10"/>
        </w:rPr>
      </w:pPr>
    </w:p>
    <w:p w:rsidR="005535A6" w:rsidRPr="00B84CBC" w:rsidRDefault="005535A6" w:rsidP="00B66BDD">
      <w:pPr>
        <w:keepNext/>
        <w:suppressLineNumbers/>
        <w:suppressAutoHyphens/>
        <w:contextualSpacing/>
        <w:jc w:val="both"/>
      </w:pPr>
      <w:r w:rsidRPr="00B84CBC">
        <w:rPr>
          <w:b/>
        </w:rPr>
        <w:t>Показатель №23</w:t>
      </w:r>
      <w:r w:rsidRPr="00B84CBC">
        <w:rPr>
          <w:i/>
        </w:rPr>
        <w:t xml:space="preserve"> «Доля обучающихся, систематически занимающихся физической культурой и спортом, в общей численности обучающихся</w:t>
      </w:r>
      <w:r w:rsidRPr="00B84CBC">
        <w:t xml:space="preserve">». </w:t>
      </w:r>
    </w:p>
    <w:p w:rsidR="005B0DC1" w:rsidRPr="00B84CBC" w:rsidRDefault="00C96764" w:rsidP="00B66BDD">
      <w:pPr>
        <w:keepNext/>
        <w:suppressLineNumbers/>
        <w:suppressAutoHyphens/>
        <w:ind w:firstLine="708"/>
        <w:contextualSpacing/>
        <w:jc w:val="both"/>
      </w:pPr>
      <w:r w:rsidRPr="00B84CBC">
        <w:t xml:space="preserve">За 2019 год значение показателя составило 100%, что на </w:t>
      </w:r>
      <w:r w:rsidR="00AD681A" w:rsidRPr="00B84CBC">
        <w:t>23,2</w:t>
      </w:r>
      <w:r w:rsidRPr="00B84CBC">
        <w:t>% выше по сравнению с 2018</w:t>
      </w:r>
      <w:r w:rsidR="00245E2F" w:rsidRPr="00B84CBC">
        <w:t xml:space="preserve"> годом</w:t>
      </w:r>
      <w:r w:rsidRPr="00B84CBC">
        <w:t xml:space="preserve">. Увеличение количественных показателей связано с несколькими факторами: изменение методики расчета данного показателя, а также с появлением в расписании общеобразовательных заведений третьего урока физкультуры, развитием спортивных федераций города и республики, появлением частных секций по разным видам спорта. Большую роль в данных изменениях играет МДОУ ДЮСШ </w:t>
      </w:r>
      <w:r w:rsidR="00245E2F" w:rsidRPr="00B84CBC">
        <w:t>Г</w:t>
      </w:r>
      <w:r w:rsidRPr="00B84CBC">
        <w:t xml:space="preserve">ородского отдела образования г.Саяногорска, где активно развиваются такие виды спорта как легкая атлетика, борьба, бокс, плавание, футбол, дзюдо. В плановом периоде </w:t>
      </w:r>
      <w:r w:rsidR="00245E2F" w:rsidRPr="00B84CBC">
        <w:t xml:space="preserve">на </w:t>
      </w:r>
      <w:r w:rsidRPr="00B84CBC">
        <w:t xml:space="preserve">2020-2022 </w:t>
      </w:r>
      <w:r w:rsidR="00245E2F" w:rsidRPr="00B84CBC">
        <w:t xml:space="preserve">годы </w:t>
      </w:r>
      <w:r w:rsidRPr="00B84CBC">
        <w:t>предполагается, что данный показатель будет на уровне 2019 года</w:t>
      </w:r>
      <w:r w:rsidR="00245E2F" w:rsidRPr="00B84CBC">
        <w:t>, с</w:t>
      </w:r>
      <w:r w:rsidRPr="00B84CBC">
        <w:t xml:space="preserve">оответственно будет составлять 100%. </w:t>
      </w:r>
    </w:p>
    <w:p w:rsidR="00BF18F6" w:rsidRPr="00B84CBC" w:rsidRDefault="00BF18F6" w:rsidP="00B66BDD">
      <w:pPr>
        <w:keepNext/>
        <w:suppressLineNumbers/>
        <w:suppressAutoHyphens/>
        <w:ind w:firstLine="708"/>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 xml:space="preserve">Показатель №24 </w:t>
      </w:r>
      <w:r w:rsidRPr="00B84CBC">
        <w:rPr>
          <w:i/>
        </w:rPr>
        <w:t>«Общая площадь жилых помещений, приходящаяся в среднем на 1 жителя – всего,</w:t>
      </w:r>
      <w:r w:rsidR="00E32019" w:rsidRPr="00B84CBC">
        <w:rPr>
          <w:i/>
        </w:rPr>
        <w:t xml:space="preserve"> </w:t>
      </w:r>
      <w:r w:rsidRPr="00B84CBC">
        <w:rPr>
          <w:i/>
        </w:rPr>
        <w:t>в том числе введенная в действие за год»</w:t>
      </w:r>
    </w:p>
    <w:p w:rsidR="00A51CEA" w:rsidRPr="00B84CBC" w:rsidRDefault="00245E2F" w:rsidP="00B66BDD">
      <w:pPr>
        <w:keepNext/>
        <w:suppressLineNumbers/>
        <w:suppressAutoHyphens/>
        <w:ind w:firstLine="708"/>
        <w:contextualSpacing/>
        <w:jc w:val="both"/>
      </w:pPr>
      <w:r w:rsidRPr="00B84CBC">
        <w:t>О</w:t>
      </w:r>
      <w:r w:rsidR="00A51CEA" w:rsidRPr="00B84CBC">
        <w:t>бщая площадь жилых помещений, приходящаяся в среднем на одного жителя</w:t>
      </w:r>
      <w:r w:rsidR="006F3620" w:rsidRPr="00B84CBC">
        <w:t xml:space="preserve"> </w:t>
      </w:r>
      <w:r w:rsidRPr="00B84CBC">
        <w:t xml:space="preserve">МО г.Саяногорск </w:t>
      </w:r>
      <w:r w:rsidR="00A51CEA" w:rsidRPr="00B84CBC">
        <w:t xml:space="preserve">за 2019 </w:t>
      </w:r>
      <w:r w:rsidRPr="00B84CBC">
        <w:t xml:space="preserve">год составила 26,65  кв.м и </w:t>
      </w:r>
      <w:r w:rsidR="006F3620" w:rsidRPr="00B84CBC">
        <w:t>увеличил</w:t>
      </w:r>
      <w:r w:rsidRPr="00B84CBC">
        <w:t>а</w:t>
      </w:r>
      <w:r w:rsidR="006F3620" w:rsidRPr="00B84CBC">
        <w:t xml:space="preserve">сь </w:t>
      </w:r>
      <w:r w:rsidR="00334018" w:rsidRPr="00B84CBC">
        <w:t xml:space="preserve">на 0,4 кв.м. </w:t>
      </w:r>
      <w:r w:rsidR="003F3D69" w:rsidRPr="00B84CBC">
        <w:t xml:space="preserve">(1,5%) </w:t>
      </w:r>
      <w:r w:rsidRPr="00B84CBC">
        <w:t>по сравнению с АППГ</w:t>
      </w:r>
      <w:r w:rsidR="00A51CEA" w:rsidRPr="00B84CBC">
        <w:t xml:space="preserve">. </w:t>
      </w:r>
    </w:p>
    <w:p w:rsidR="00A51CEA" w:rsidRPr="00B84CBC" w:rsidRDefault="00A51CEA" w:rsidP="00B66BDD">
      <w:pPr>
        <w:keepNext/>
        <w:suppressLineNumbers/>
        <w:suppressAutoHyphens/>
        <w:ind w:firstLine="708"/>
        <w:contextualSpacing/>
        <w:jc w:val="both"/>
      </w:pPr>
      <w:r w:rsidRPr="00B84CBC">
        <w:t>В том числе за 2019 г</w:t>
      </w:r>
      <w:r w:rsidR="00245E2F" w:rsidRPr="00B84CBC">
        <w:t>од</w:t>
      </w:r>
      <w:r w:rsidRPr="00B84CBC">
        <w:t xml:space="preserve"> введена в действие </w:t>
      </w:r>
      <w:r w:rsidR="00AC4F60" w:rsidRPr="00B84CBC">
        <w:t xml:space="preserve">жилая площадь </w:t>
      </w:r>
      <w:r w:rsidRPr="00B84CBC">
        <w:t>- 0,1</w:t>
      </w:r>
      <w:r w:rsidR="00F13060" w:rsidRPr="00B84CBC">
        <w:t>6</w:t>
      </w:r>
      <w:r w:rsidRPr="00B84CBC">
        <w:t xml:space="preserve"> кв.м на 1 жителя (индивидуальными застройщиками построено </w:t>
      </w:r>
      <w:r w:rsidR="006F3620" w:rsidRPr="00B84CBC">
        <w:t xml:space="preserve">жилья </w:t>
      </w:r>
      <w:r w:rsidRPr="00B84CBC">
        <w:t xml:space="preserve">общей площадью </w:t>
      </w:r>
      <w:r w:rsidR="00245E2F" w:rsidRPr="00B84CBC">
        <w:t xml:space="preserve">- </w:t>
      </w:r>
      <w:r w:rsidR="00F13060" w:rsidRPr="00B84CBC">
        <w:t>9</w:t>
      </w:r>
      <w:r w:rsidR="003F3D69" w:rsidRPr="00B84CBC">
        <w:t xml:space="preserve"> </w:t>
      </w:r>
      <w:r w:rsidR="00F13060" w:rsidRPr="00B84CBC">
        <w:t xml:space="preserve">700 </w:t>
      </w:r>
      <w:r w:rsidRPr="00B84CBC">
        <w:t>кв.м.)</w:t>
      </w:r>
      <w:r w:rsidR="003F3D69" w:rsidRPr="00B84CBC">
        <w:t>.</w:t>
      </w:r>
    </w:p>
    <w:p w:rsidR="0015234B" w:rsidRPr="00B84CBC" w:rsidRDefault="0015234B" w:rsidP="00B66BDD">
      <w:pPr>
        <w:keepNext/>
        <w:suppressLineNumbers/>
        <w:suppressAutoHyphens/>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Показатель №25</w:t>
      </w:r>
      <w:r w:rsidRPr="00B84CBC">
        <w:rPr>
          <w:i/>
          <w:lang w:eastAsia="ar-SA"/>
        </w:rPr>
        <w:t xml:space="preserve">  </w:t>
      </w:r>
      <w:r w:rsidRPr="00B84CBC">
        <w:rPr>
          <w:i/>
        </w:rPr>
        <w:t>«Площадь земельных участков, предоставленных для строительства в расчете на 10 тыс. населения, всего,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A51CEA" w:rsidRPr="00B84CBC" w:rsidRDefault="00A51CEA" w:rsidP="00B66BDD">
      <w:pPr>
        <w:keepNext/>
        <w:suppressLineNumbers/>
        <w:suppressAutoHyphens/>
        <w:ind w:firstLine="708"/>
        <w:contextualSpacing/>
        <w:jc w:val="both"/>
        <w:rPr>
          <w:lang w:eastAsia="ar-SA"/>
        </w:rPr>
      </w:pPr>
      <w:r w:rsidRPr="00B84CBC">
        <w:rPr>
          <w:lang w:eastAsia="ar-SA"/>
        </w:rPr>
        <w:lastRenderedPageBreak/>
        <w:t xml:space="preserve">За </w:t>
      </w:r>
      <w:r w:rsidR="00245E2F" w:rsidRPr="00B84CBC">
        <w:rPr>
          <w:lang w:eastAsia="ar-SA"/>
        </w:rPr>
        <w:t>2019 год</w:t>
      </w:r>
      <w:r w:rsidRPr="00B84CBC">
        <w:rPr>
          <w:lang w:eastAsia="ar-SA"/>
        </w:rPr>
        <w:t xml:space="preserve"> предоставлено </w:t>
      </w:r>
      <w:r w:rsidR="00245E2F" w:rsidRPr="00B84CBC">
        <w:rPr>
          <w:lang w:eastAsia="ar-SA"/>
        </w:rPr>
        <w:t xml:space="preserve">всего - 11 га, из них </w:t>
      </w:r>
      <w:r w:rsidR="00AC4F60" w:rsidRPr="00B84CBC">
        <w:rPr>
          <w:lang w:eastAsia="ar-SA"/>
        </w:rPr>
        <w:t xml:space="preserve">5 </w:t>
      </w:r>
      <w:r w:rsidRPr="00B84CBC">
        <w:rPr>
          <w:lang w:eastAsia="ar-SA"/>
        </w:rPr>
        <w:t>га земель под прочие объе</w:t>
      </w:r>
      <w:r w:rsidR="00CF26F7" w:rsidRPr="00B84CBC">
        <w:rPr>
          <w:lang w:eastAsia="ar-SA"/>
        </w:rPr>
        <w:t>кты (гаражи, производственные ба</w:t>
      </w:r>
      <w:r w:rsidRPr="00B84CBC">
        <w:rPr>
          <w:lang w:eastAsia="ar-SA"/>
        </w:rPr>
        <w:t>зы, склады и т</w:t>
      </w:r>
      <w:r w:rsidR="00245E2F" w:rsidRPr="00B84CBC">
        <w:rPr>
          <w:lang w:eastAsia="ar-SA"/>
        </w:rPr>
        <w:t>.</w:t>
      </w:r>
      <w:r w:rsidRPr="00B84CBC">
        <w:rPr>
          <w:lang w:eastAsia="ar-SA"/>
        </w:rPr>
        <w:t xml:space="preserve">д.), </w:t>
      </w:r>
      <w:r w:rsidR="00302C3F" w:rsidRPr="00B84CBC">
        <w:rPr>
          <w:lang w:eastAsia="ar-SA"/>
        </w:rPr>
        <w:t>6</w:t>
      </w:r>
      <w:r w:rsidRPr="00B84CBC">
        <w:rPr>
          <w:lang w:eastAsia="ar-SA"/>
        </w:rPr>
        <w:t xml:space="preserve"> га </w:t>
      </w:r>
      <w:r w:rsidR="00AC4F60" w:rsidRPr="00B84CBC">
        <w:rPr>
          <w:lang w:eastAsia="ar-SA"/>
        </w:rPr>
        <w:t xml:space="preserve">под ИЖС. </w:t>
      </w:r>
    </w:p>
    <w:p w:rsidR="0006681A" w:rsidRPr="00B84CBC" w:rsidRDefault="00A51CEA" w:rsidP="00B66BDD">
      <w:pPr>
        <w:keepNext/>
        <w:suppressLineNumbers/>
        <w:suppressAutoHyphens/>
        <w:ind w:firstLine="708"/>
        <w:contextualSpacing/>
        <w:jc w:val="both"/>
        <w:rPr>
          <w:lang w:eastAsia="ar-SA"/>
        </w:rPr>
      </w:pPr>
      <w:r w:rsidRPr="00B84CBC">
        <w:rPr>
          <w:lang w:eastAsia="ar-SA"/>
        </w:rPr>
        <w:t xml:space="preserve"> </w:t>
      </w:r>
      <w:r w:rsidR="0006681A" w:rsidRPr="00B84CBC">
        <w:rPr>
          <w:lang w:eastAsia="ar-SA"/>
        </w:rPr>
        <w:t>В дальнейшем, в 2020 году планируется предоставить земельные участки для ИЖС и  прочих объектов на уровне 2019 года.</w:t>
      </w:r>
    </w:p>
    <w:p w:rsidR="0006681A" w:rsidRPr="00B84CBC" w:rsidRDefault="0006681A" w:rsidP="00B66BDD">
      <w:pPr>
        <w:keepNext/>
        <w:suppressLineNumbers/>
        <w:suppressAutoHyphens/>
        <w:ind w:firstLine="708"/>
        <w:contextualSpacing/>
        <w:jc w:val="both"/>
        <w:rPr>
          <w:lang w:eastAsia="ar-SA"/>
        </w:rPr>
      </w:pPr>
      <w:r w:rsidRPr="00B84CBC">
        <w:rPr>
          <w:lang w:eastAsia="ar-SA"/>
        </w:rPr>
        <w:t>Показатели на последующие 2021 и 2022 годы прогнозируются за счет предоставления земель для ИЖС льготным категориям граждан и для строительства коммерческих объектов на уровне 2020 года. Следует отметить, что законодательством предусматривается заявительный характер формирования земельных участков для нежилищного строительства (путем проведения торгов), что ставит зависимость показателя от активности населения.</w:t>
      </w:r>
    </w:p>
    <w:p w:rsidR="0006681A" w:rsidRPr="00B84CBC" w:rsidRDefault="0006681A" w:rsidP="00B66BDD">
      <w:pPr>
        <w:keepNext/>
        <w:suppressLineNumbers/>
        <w:suppressAutoHyphens/>
        <w:ind w:firstLine="708"/>
        <w:contextualSpacing/>
        <w:jc w:val="both"/>
        <w:rPr>
          <w:lang w:eastAsia="ar-SA"/>
        </w:rPr>
      </w:pPr>
      <w:r w:rsidRPr="00B84CBC">
        <w:rPr>
          <w:lang w:eastAsia="ar-SA"/>
        </w:rPr>
        <w:t>Значение данного показателя за 2019 год составляет 1,85 га на 10 000 человек населения, в т.ч. для жилищного строительства, индивидуального строительства и комплексного освоения в целях жилищного строительства – 1,01 га на 10 000 человек населения.</w:t>
      </w:r>
    </w:p>
    <w:p w:rsidR="006039EB" w:rsidRPr="00B84CBC" w:rsidRDefault="006039EB" w:rsidP="00B66BDD">
      <w:pPr>
        <w:keepNext/>
        <w:suppressLineNumbers/>
        <w:suppressAutoHyphens/>
        <w:ind w:firstLine="708"/>
        <w:contextualSpacing/>
        <w:jc w:val="both"/>
        <w:rPr>
          <w:sz w:val="10"/>
          <w:szCs w:val="10"/>
          <w:lang w:eastAsia="ar-SA"/>
        </w:rPr>
      </w:pPr>
    </w:p>
    <w:p w:rsidR="006039EB" w:rsidRPr="00B84CBC" w:rsidRDefault="006039EB" w:rsidP="00B66BDD">
      <w:pPr>
        <w:keepNext/>
        <w:suppressLineNumbers/>
        <w:suppressAutoHyphens/>
        <w:contextualSpacing/>
        <w:jc w:val="both"/>
        <w:rPr>
          <w:i/>
        </w:rPr>
      </w:pPr>
      <w:r w:rsidRPr="00B84CBC">
        <w:rPr>
          <w:b/>
        </w:rPr>
        <w:t>Показатель №26</w:t>
      </w:r>
      <w:r w:rsidRPr="00B84CBC">
        <w:rPr>
          <w:i/>
          <w:lang w:eastAsia="ar-SA"/>
        </w:rPr>
        <w:t xml:space="preserve"> </w:t>
      </w:r>
      <w:r w:rsidRPr="00B84CBC">
        <w:rPr>
          <w:i/>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в течение 5 лет».</w:t>
      </w:r>
    </w:p>
    <w:p w:rsidR="00DB64B0" w:rsidRPr="00B84CBC" w:rsidRDefault="00DB64B0" w:rsidP="00B66BDD">
      <w:pPr>
        <w:keepNext/>
        <w:suppressLineNumbers/>
        <w:suppressAutoHyphens/>
        <w:ind w:firstLine="708"/>
        <w:contextualSpacing/>
        <w:jc w:val="both"/>
        <w:rPr>
          <w:lang w:eastAsia="ar-SA"/>
        </w:rPr>
      </w:pPr>
      <w:r w:rsidRPr="00B84CBC">
        <w:rPr>
          <w:lang w:eastAsia="ar-SA"/>
        </w:rPr>
        <w:t>Отсутствие значений показателя обусловлено отсутствием сведений о количестве земельных участков, предоставленных для</w:t>
      </w:r>
      <w:r w:rsidR="00733635" w:rsidRPr="00B84CBC">
        <w:rPr>
          <w:lang w:eastAsia="ar-SA"/>
        </w:rPr>
        <w:t xml:space="preserve"> строительства до 01.01.2002, </w:t>
      </w:r>
      <w:r w:rsidRPr="00B84CBC">
        <w:rPr>
          <w:lang w:eastAsia="ar-SA"/>
        </w:rPr>
        <w:t>поскольку документы о правах на земельные участки оформлялись городским комитетом по земельным ресурсам и землеустройству (соответственно государственные акты о правах на землю и свидетельства). В результате проведенных административных реформ федеральных органов исполнительной власти городские (районные) комитеты по земельным ресурсам и</w:t>
      </w:r>
      <w:r w:rsidR="009C36B8" w:rsidRPr="00B84CBC">
        <w:rPr>
          <w:lang w:eastAsia="ar-SA"/>
        </w:rPr>
        <w:t xml:space="preserve"> землеустройству ликвидированы, а </w:t>
      </w:r>
      <w:r w:rsidRPr="00B84CBC">
        <w:rPr>
          <w:lang w:eastAsia="ar-SA"/>
        </w:rPr>
        <w:t>архивны</w:t>
      </w:r>
      <w:r w:rsidR="000D310B" w:rsidRPr="00B84CBC">
        <w:rPr>
          <w:lang w:eastAsia="ar-SA"/>
        </w:rPr>
        <w:t>е</w:t>
      </w:r>
      <w:r w:rsidRPr="00B84CBC">
        <w:rPr>
          <w:lang w:eastAsia="ar-SA"/>
        </w:rPr>
        <w:t xml:space="preserve"> документы переданы Управлению Федеральной службы государственной регистрации, кадастра и картографии. Также до настоящего времени не требуется выдача разрешение на строительство и ввод в эксплуатацию индивидуал</w:t>
      </w:r>
      <w:r w:rsidR="00CB4733" w:rsidRPr="00B84CBC">
        <w:rPr>
          <w:lang w:eastAsia="ar-SA"/>
        </w:rPr>
        <w:t>ьных гаражей</w:t>
      </w:r>
      <w:r w:rsidRPr="00B84CBC">
        <w:rPr>
          <w:lang w:eastAsia="ar-SA"/>
        </w:rPr>
        <w:t>.</w:t>
      </w:r>
    </w:p>
    <w:p w:rsidR="00CB4733" w:rsidRPr="00B84CBC" w:rsidRDefault="00CB4733" w:rsidP="00B66BDD">
      <w:pPr>
        <w:keepNext/>
        <w:suppressLineNumbers/>
        <w:suppressAutoHyphens/>
        <w:ind w:firstLine="708"/>
        <w:contextualSpacing/>
        <w:jc w:val="both"/>
        <w:rPr>
          <w:lang w:eastAsia="ar-SA"/>
        </w:rPr>
      </w:pPr>
      <w:r w:rsidRPr="00B84CBC">
        <w:rPr>
          <w:lang w:eastAsia="ar-SA"/>
        </w:rPr>
        <w:t xml:space="preserve">Значения данного показателя </w:t>
      </w:r>
      <w:r w:rsidR="000D310B" w:rsidRPr="00B84CBC">
        <w:rPr>
          <w:lang w:eastAsia="ar-SA"/>
        </w:rPr>
        <w:t>за 2019</w:t>
      </w:r>
      <w:r w:rsidRPr="00B84CBC">
        <w:rPr>
          <w:lang w:eastAsia="ar-SA"/>
        </w:rPr>
        <w:t xml:space="preserve"> </w:t>
      </w:r>
      <w:r w:rsidR="00245E2F" w:rsidRPr="00B84CBC">
        <w:rPr>
          <w:lang w:eastAsia="ar-SA"/>
        </w:rPr>
        <w:t>год -</w:t>
      </w:r>
      <w:r w:rsidRPr="00B84CBC">
        <w:rPr>
          <w:lang w:eastAsia="ar-SA"/>
        </w:rPr>
        <w:t xml:space="preserve"> 0 </w:t>
      </w:r>
      <w:r w:rsidR="00245E2F" w:rsidRPr="00B84CBC">
        <w:rPr>
          <w:lang w:eastAsia="ar-SA"/>
        </w:rPr>
        <w:t>и на плановый период 2020-2022 гг. - 0</w:t>
      </w:r>
      <w:r w:rsidRPr="00B84CBC">
        <w:rPr>
          <w:lang w:eastAsia="ar-SA"/>
        </w:rPr>
        <w:t xml:space="preserve">.  </w:t>
      </w:r>
    </w:p>
    <w:p w:rsidR="0040685B" w:rsidRPr="00B84CBC" w:rsidRDefault="0040685B" w:rsidP="00B66BDD">
      <w:pPr>
        <w:pStyle w:val="210"/>
        <w:keepNext/>
        <w:suppressLineNumbers/>
        <w:tabs>
          <w:tab w:val="left" w:pos="1440"/>
        </w:tabs>
        <w:ind w:firstLine="0"/>
        <w:contextualSpacing/>
        <w:rPr>
          <w:sz w:val="10"/>
          <w:szCs w:val="10"/>
        </w:rPr>
      </w:pPr>
    </w:p>
    <w:p w:rsidR="006039EB" w:rsidRPr="00B84CBC" w:rsidRDefault="006039EB" w:rsidP="00B66BDD">
      <w:pPr>
        <w:pStyle w:val="210"/>
        <w:keepNext/>
        <w:suppressLineNumbers/>
        <w:tabs>
          <w:tab w:val="left" w:pos="1440"/>
        </w:tabs>
        <w:ind w:firstLine="0"/>
        <w:contextualSpacing/>
        <w:rPr>
          <w:b w:val="0"/>
          <w:bCs w:val="0"/>
          <w:i/>
          <w:sz w:val="24"/>
          <w:lang w:eastAsia="ru-RU"/>
        </w:rPr>
      </w:pPr>
      <w:r w:rsidRPr="00B84CBC">
        <w:rPr>
          <w:bCs w:val="0"/>
          <w:sz w:val="24"/>
          <w:lang w:eastAsia="ru-RU"/>
        </w:rPr>
        <w:t>Показатель №27</w:t>
      </w:r>
      <w:r w:rsidRPr="00B84CBC">
        <w:rPr>
          <w:sz w:val="24"/>
        </w:rPr>
        <w:t xml:space="preserve"> </w:t>
      </w:r>
      <w:r w:rsidRPr="00B84CBC">
        <w:rPr>
          <w:b w:val="0"/>
          <w:bCs w:val="0"/>
          <w:i/>
          <w:sz w:val="24"/>
          <w:lang w:eastAsia="ru-RU"/>
        </w:rPr>
        <w:t>«Доля многоквартирных домов, в которых собственники помещений выбрали и реализуют один из способов управления многоквартирными домами».</w:t>
      </w:r>
    </w:p>
    <w:p w:rsidR="00DA222A" w:rsidRPr="00B84CBC" w:rsidRDefault="00DA222A" w:rsidP="00B66BDD">
      <w:pPr>
        <w:keepNext/>
        <w:suppressLineNumbers/>
        <w:suppressAutoHyphens/>
        <w:ind w:firstLine="709"/>
        <w:contextualSpacing/>
        <w:jc w:val="both"/>
        <w:rPr>
          <w:lang w:eastAsia="ar-SA"/>
        </w:rPr>
      </w:pPr>
      <w:r w:rsidRPr="00B84CBC">
        <w:rPr>
          <w:lang w:eastAsia="ar-SA"/>
        </w:rPr>
        <w:t xml:space="preserve">На территории </w:t>
      </w:r>
      <w:r w:rsidR="00245E2F" w:rsidRPr="00B84CBC">
        <w:rPr>
          <w:lang w:eastAsia="ar-SA"/>
        </w:rPr>
        <w:t xml:space="preserve">МО г.Саяногорск </w:t>
      </w:r>
      <w:r w:rsidRPr="00B84CBC">
        <w:rPr>
          <w:lang w:eastAsia="ar-SA"/>
        </w:rPr>
        <w:t>100% жител</w:t>
      </w:r>
      <w:r w:rsidR="00245E2F" w:rsidRPr="00B84CBC">
        <w:rPr>
          <w:lang w:eastAsia="ar-SA"/>
        </w:rPr>
        <w:t>и</w:t>
      </w:r>
      <w:r w:rsidRPr="00B84CBC">
        <w:rPr>
          <w:lang w:eastAsia="ar-SA"/>
        </w:rPr>
        <w:t xml:space="preserve"> многоквартирных домов выбрали и реализуют один из способов управления многоквартирными домами. </w:t>
      </w:r>
    </w:p>
    <w:p w:rsidR="00DA222A" w:rsidRPr="00B84CBC" w:rsidRDefault="00DA222A" w:rsidP="00B66BDD">
      <w:pPr>
        <w:keepNext/>
        <w:suppressLineNumbers/>
        <w:suppressAutoHyphens/>
        <w:ind w:firstLine="709"/>
        <w:contextualSpacing/>
        <w:jc w:val="both"/>
        <w:rPr>
          <w:lang w:eastAsia="ar-SA"/>
        </w:rPr>
      </w:pPr>
      <w:r w:rsidRPr="00B84CBC">
        <w:rPr>
          <w:lang w:eastAsia="ar-SA"/>
        </w:rPr>
        <w:t xml:space="preserve">По состоянию на 01.01.2020 </w:t>
      </w:r>
      <w:r w:rsidR="00384172" w:rsidRPr="00B84CBC">
        <w:rPr>
          <w:lang w:eastAsia="ar-SA"/>
        </w:rPr>
        <w:t xml:space="preserve">года </w:t>
      </w:r>
      <w:r w:rsidRPr="00B84CBC">
        <w:rPr>
          <w:lang w:eastAsia="ar-SA"/>
        </w:rPr>
        <w:t xml:space="preserve">на территории </w:t>
      </w:r>
      <w:r w:rsidR="00384172" w:rsidRPr="00B84CBC">
        <w:rPr>
          <w:lang w:eastAsia="ar-SA"/>
        </w:rPr>
        <w:t xml:space="preserve">МО г.Саяногорск </w:t>
      </w:r>
      <w:r w:rsidRPr="00B84CBC">
        <w:rPr>
          <w:lang w:eastAsia="ar-SA"/>
        </w:rPr>
        <w:t>осуществляют деятельность 16 управляющих организаций (83,3% общего количества МКД), 7 товариществ собственников жилья (6,2% МКД) и 1 товарищество собственников недвижимости (0,3% МКД)</w:t>
      </w:r>
      <w:r w:rsidR="00384172" w:rsidRPr="00B84CBC">
        <w:rPr>
          <w:lang w:eastAsia="ar-SA"/>
        </w:rPr>
        <w:t xml:space="preserve">, </w:t>
      </w:r>
      <w:r w:rsidRPr="00B84CBC">
        <w:rPr>
          <w:lang w:eastAsia="ar-SA"/>
        </w:rPr>
        <w:t>собственники 36 МКД (10,2% МКД) в рп</w:t>
      </w:r>
      <w:r w:rsidR="00384172" w:rsidRPr="00B84CBC">
        <w:rPr>
          <w:lang w:eastAsia="ar-SA"/>
        </w:rPr>
        <w:t>.</w:t>
      </w:r>
      <w:r w:rsidRPr="00B84CBC">
        <w:rPr>
          <w:lang w:eastAsia="ar-SA"/>
        </w:rPr>
        <w:t xml:space="preserve">Майна выбрали и реализуют непосредственный способ управления. </w:t>
      </w:r>
    </w:p>
    <w:p w:rsidR="006039EB" w:rsidRPr="00B84CBC" w:rsidRDefault="006039EB" w:rsidP="00B66BDD">
      <w:pPr>
        <w:keepNext/>
        <w:suppressLineNumbers/>
        <w:suppressAutoHyphens/>
        <w:ind w:firstLine="708"/>
        <w:contextualSpacing/>
        <w:jc w:val="both"/>
        <w:rPr>
          <w:sz w:val="10"/>
          <w:szCs w:val="10"/>
        </w:rPr>
      </w:pPr>
    </w:p>
    <w:p w:rsidR="00606D16" w:rsidRPr="00B84CBC" w:rsidRDefault="006039EB" w:rsidP="00B66BDD">
      <w:pPr>
        <w:pStyle w:val="210"/>
        <w:keepNext/>
        <w:suppressLineNumbers/>
        <w:tabs>
          <w:tab w:val="left" w:pos="1440"/>
        </w:tabs>
        <w:ind w:firstLine="0"/>
        <w:contextualSpacing/>
        <w:rPr>
          <w:b w:val="0"/>
          <w:bCs w:val="0"/>
          <w:i/>
          <w:sz w:val="24"/>
          <w:lang w:eastAsia="ru-RU"/>
        </w:rPr>
      </w:pPr>
      <w:r w:rsidRPr="00B84CBC">
        <w:rPr>
          <w:bCs w:val="0"/>
          <w:sz w:val="24"/>
          <w:lang w:eastAsia="ru-RU"/>
        </w:rPr>
        <w:t>Показатель №28</w:t>
      </w:r>
      <w:r w:rsidRPr="00B84CBC">
        <w:rPr>
          <w:sz w:val="24"/>
        </w:rPr>
        <w:t xml:space="preserve"> </w:t>
      </w:r>
      <w:r w:rsidRPr="00B84CBC">
        <w:rPr>
          <w:b w:val="0"/>
          <w:bCs w:val="0"/>
          <w:i/>
          <w:sz w:val="24"/>
          <w:lang w:eastAsia="ru-RU"/>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9D29D6" w:rsidRPr="00B84CBC" w:rsidRDefault="00FC7FA3" w:rsidP="00B66BDD">
      <w:pPr>
        <w:keepNext/>
        <w:suppressLineNumbers/>
        <w:suppressAutoHyphens/>
        <w:ind w:firstLine="709"/>
        <w:contextualSpacing/>
        <w:jc w:val="both"/>
      </w:pPr>
      <w:r w:rsidRPr="00B84CBC">
        <w:t xml:space="preserve">С 01 апреля 2012 года на территории </w:t>
      </w:r>
      <w:r w:rsidR="00384172" w:rsidRPr="00B84CBC">
        <w:t xml:space="preserve">МО г.Саяногорск </w:t>
      </w:r>
      <w:r w:rsidR="009D29D6" w:rsidRPr="00B84CBC">
        <w:t>100% организаций коммунального комплекса, осуществляющих производство товаров, оказания услуг по водо-, тепло-, газо-, электроснабжению, водоотведению, очистке сточных вод, утилизации (захоронению) твердых бытовых отходов используют объекты коммунальной инфраструктуры на праве частной собственности, по договору аренды и (или) концессии.</w:t>
      </w:r>
    </w:p>
    <w:p w:rsidR="006039EB" w:rsidRPr="00B84CBC" w:rsidRDefault="006039EB" w:rsidP="00B66BDD">
      <w:pPr>
        <w:keepNext/>
        <w:suppressLineNumbers/>
        <w:suppressAutoHyphens/>
        <w:ind w:firstLine="708"/>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Показатель №29</w:t>
      </w:r>
      <w:r w:rsidRPr="00B84CBC">
        <w:rPr>
          <w:i/>
        </w:rPr>
        <w:t xml:space="preserve"> «Доля многоквартирных</w:t>
      </w:r>
      <w:r w:rsidRPr="00B84CBC">
        <w:rPr>
          <w:i/>
          <w:lang w:eastAsia="ar-SA"/>
        </w:rPr>
        <w:t xml:space="preserve"> </w:t>
      </w:r>
      <w:r w:rsidRPr="00B84CBC">
        <w:rPr>
          <w:i/>
        </w:rPr>
        <w:t>домов, расположенных на земельных участках, в отношении которых осуществлен государственный кадастровый учет».</w:t>
      </w:r>
    </w:p>
    <w:p w:rsidR="00BF389D" w:rsidRPr="00B84CBC" w:rsidRDefault="00141852" w:rsidP="00B66BDD">
      <w:pPr>
        <w:keepNext/>
        <w:suppressLineNumbers/>
        <w:suppressAutoHyphens/>
        <w:contextualSpacing/>
        <w:jc w:val="both"/>
        <w:rPr>
          <w:lang w:eastAsia="ar-SA"/>
        </w:rPr>
      </w:pPr>
      <w:r w:rsidRPr="00B84CBC">
        <w:rPr>
          <w:lang w:eastAsia="ar-SA"/>
        </w:rPr>
        <w:lastRenderedPageBreak/>
        <w:tab/>
      </w:r>
      <w:r w:rsidR="00FC7FA3" w:rsidRPr="00B84CBC">
        <w:rPr>
          <w:lang w:eastAsia="ar-SA"/>
        </w:rPr>
        <w:t>Н</w:t>
      </w:r>
      <w:r w:rsidR="00FC7FA3" w:rsidRPr="00B84CBC">
        <w:t xml:space="preserve">а территории </w:t>
      </w:r>
      <w:r w:rsidR="00384172" w:rsidRPr="00B84CBC">
        <w:t xml:space="preserve">МО г.Саяногорск </w:t>
      </w:r>
      <w:r w:rsidRPr="00B84CBC">
        <w:rPr>
          <w:lang w:eastAsia="ar-SA"/>
        </w:rPr>
        <w:t>все земельные участки, на которых расположены многоквартирные дома, стоят на государственном кадастровом учете.</w:t>
      </w:r>
      <w:r w:rsidR="00C4466A" w:rsidRPr="00B84CBC">
        <w:rPr>
          <w:lang w:eastAsia="ar-SA"/>
        </w:rPr>
        <w:t xml:space="preserve"> </w:t>
      </w:r>
      <w:r w:rsidR="00BF389D" w:rsidRPr="00B84CBC">
        <w:rPr>
          <w:lang w:eastAsia="ar-SA"/>
        </w:rPr>
        <w:t>Значения данного показателя в 201</w:t>
      </w:r>
      <w:r w:rsidR="000D310B" w:rsidRPr="00B84CBC">
        <w:rPr>
          <w:lang w:eastAsia="ar-SA"/>
        </w:rPr>
        <w:t>9</w:t>
      </w:r>
      <w:r w:rsidR="00BF389D" w:rsidRPr="00B84CBC">
        <w:rPr>
          <w:lang w:eastAsia="ar-SA"/>
        </w:rPr>
        <w:t xml:space="preserve"> году и на планируемые годы составляет 100%.  </w:t>
      </w:r>
    </w:p>
    <w:p w:rsidR="006039EB" w:rsidRPr="00B84CBC" w:rsidRDefault="006039EB" w:rsidP="00B66BDD">
      <w:pPr>
        <w:keepNext/>
        <w:suppressLineNumbers/>
        <w:suppressAutoHyphens/>
        <w:contextualSpacing/>
        <w:jc w:val="both"/>
        <w:rPr>
          <w:sz w:val="10"/>
          <w:szCs w:val="10"/>
          <w:lang w:eastAsia="ar-SA"/>
        </w:rPr>
      </w:pPr>
    </w:p>
    <w:p w:rsidR="006039EB" w:rsidRPr="00B84CBC" w:rsidRDefault="006039EB" w:rsidP="00B66BDD">
      <w:pPr>
        <w:keepNext/>
        <w:suppressLineNumbers/>
        <w:suppressAutoHyphens/>
        <w:contextualSpacing/>
        <w:jc w:val="both"/>
        <w:rPr>
          <w:i/>
        </w:rPr>
      </w:pPr>
      <w:r w:rsidRPr="00B84CBC">
        <w:rPr>
          <w:b/>
        </w:rPr>
        <w:t>Показатель №30</w:t>
      </w:r>
      <w:r w:rsidRPr="00B84CBC">
        <w:t xml:space="preserve"> </w:t>
      </w:r>
      <w:r w:rsidRPr="00B84CBC">
        <w:rPr>
          <w:i/>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B00447" w:rsidRPr="00B84CBC" w:rsidRDefault="00B00447" w:rsidP="00B66BDD">
      <w:pPr>
        <w:pStyle w:val="2"/>
        <w:keepNext/>
        <w:suppressLineNumbers/>
        <w:suppressAutoHyphens/>
        <w:ind w:firstLine="708"/>
        <w:contextualSpacing/>
        <w:rPr>
          <w:b w:val="0"/>
          <w:bCs w:val="0"/>
          <w:sz w:val="24"/>
        </w:rPr>
      </w:pPr>
      <w:r w:rsidRPr="00B84CBC">
        <w:rPr>
          <w:b w:val="0"/>
          <w:bCs w:val="0"/>
          <w:sz w:val="24"/>
        </w:rPr>
        <w:t xml:space="preserve">Показатель рассчитывается в соответствии с Методикой, утвержденной </w:t>
      </w:r>
      <w:r w:rsidR="00384172" w:rsidRPr="00B84CBC">
        <w:rPr>
          <w:b w:val="0"/>
          <w:bCs w:val="0"/>
          <w:sz w:val="24"/>
        </w:rPr>
        <w:t>приказом</w:t>
      </w:r>
      <w:r w:rsidRPr="00B84CBC">
        <w:rPr>
          <w:b w:val="0"/>
          <w:bCs w:val="0"/>
          <w:sz w:val="24"/>
        </w:rPr>
        <w:t xml:space="preserve"> Росстата от 17.07.2015 №324.</w:t>
      </w:r>
      <w:r w:rsidR="00DA222A" w:rsidRPr="00B84CBC">
        <w:rPr>
          <w:b w:val="0"/>
          <w:bCs w:val="0"/>
          <w:sz w:val="24"/>
        </w:rPr>
        <w:t xml:space="preserve"> </w:t>
      </w:r>
      <w:r w:rsidRPr="00B84CBC">
        <w:rPr>
          <w:b w:val="0"/>
          <w:bCs w:val="0"/>
          <w:sz w:val="24"/>
        </w:rPr>
        <w:t>Источником для расчета показателя  являются данные формы №</w:t>
      </w:r>
      <w:hyperlink r:id="rId10" w:history="1">
        <w:r w:rsidRPr="00B84CBC">
          <w:rPr>
            <w:b w:val="0"/>
            <w:bCs w:val="0"/>
            <w:sz w:val="24"/>
          </w:rPr>
          <w:t>4-жилфонд</w:t>
        </w:r>
      </w:hyperlink>
      <w:r w:rsidRPr="00B84CBC">
        <w:rPr>
          <w:b w:val="0"/>
          <w:bCs w:val="0"/>
          <w:sz w:val="24"/>
        </w:rPr>
        <w:t xml:space="preserve"> "Сведения о представлении гражданам жилых помещений".</w:t>
      </w:r>
    </w:p>
    <w:p w:rsidR="00B00447" w:rsidRPr="00B84CBC" w:rsidRDefault="00B00447" w:rsidP="00B66BDD">
      <w:pPr>
        <w:keepNext/>
        <w:suppressLineNumbers/>
        <w:suppressAutoHyphens/>
        <w:autoSpaceDE w:val="0"/>
        <w:autoSpaceDN w:val="0"/>
        <w:adjustRightInd w:val="0"/>
        <w:ind w:firstLine="708"/>
        <w:contextualSpacing/>
        <w:jc w:val="both"/>
      </w:pPr>
      <w:r w:rsidRPr="00B84CBC">
        <w:t xml:space="preserve">Семьи, состоящие на учете в качестве нуждающихся в жилых помещениях в муниципальных образованиях для получения жилых помещений и улучшения жилищных условий, учитываются в соответствии с Жилищным </w:t>
      </w:r>
      <w:hyperlink r:id="rId11" w:history="1">
        <w:r w:rsidRPr="00B84CBC">
          <w:t>кодексом</w:t>
        </w:r>
      </w:hyperlink>
      <w:r w:rsidRPr="00B84CBC">
        <w:t xml:space="preserve"> Российской Федерации.</w:t>
      </w:r>
    </w:p>
    <w:p w:rsidR="00384172" w:rsidRPr="00B84CBC" w:rsidRDefault="006C01AE" w:rsidP="00384172">
      <w:pPr>
        <w:pStyle w:val="2"/>
        <w:keepNext/>
        <w:suppressLineNumbers/>
        <w:suppressAutoHyphens/>
        <w:ind w:firstLine="708"/>
        <w:contextualSpacing/>
        <w:rPr>
          <w:b w:val="0"/>
          <w:bCs w:val="0"/>
          <w:sz w:val="24"/>
          <w:lang w:eastAsia="ar-SA"/>
        </w:rPr>
      </w:pPr>
      <w:r w:rsidRPr="00B84CBC">
        <w:rPr>
          <w:b w:val="0"/>
          <w:bCs w:val="0"/>
          <w:sz w:val="24"/>
          <w:lang w:eastAsia="ar-SA"/>
        </w:rPr>
        <w:t xml:space="preserve">За </w:t>
      </w:r>
      <w:r w:rsidR="00DA222A" w:rsidRPr="00B84CBC">
        <w:rPr>
          <w:b w:val="0"/>
          <w:bCs w:val="0"/>
          <w:sz w:val="24"/>
          <w:lang w:eastAsia="ar-SA"/>
        </w:rPr>
        <w:t>2019 год</w:t>
      </w:r>
      <w:r w:rsidR="00E97BF0" w:rsidRPr="00B84CBC">
        <w:rPr>
          <w:b w:val="0"/>
          <w:bCs w:val="0"/>
          <w:sz w:val="24"/>
          <w:lang w:eastAsia="ar-SA"/>
        </w:rPr>
        <w:t xml:space="preserve"> значение показателя достигло </w:t>
      </w:r>
      <w:r w:rsidR="00DA222A" w:rsidRPr="00B84CBC">
        <w:rPr>
          <w:b w:val="0"/>
          <w:bCs w:val="0"/>
          <w:sz w:val="24"/>
          <w:lang w:eastAsia="ar-SA"/>
        </w:rPr>
        <w:t>2,9</w:t>
      </w:r>
      <w:r w:rsidR="00E97BF0" w:rsidRPr="00B84CBC">
        <w:rPr>
          <w:b w:val="0"/>
          <w:bCs w:val="0"/>
          <w:sz w:val="24"/>
          <w:lang w:eastAsia="ar-SA"/>
        </w:rPr>
        <w:t>%.</w:t>
      </w:r>
      <w:r w:rsidR="00384172" w:rsidRPr="00B84CBC">
        <w:rPr>
          <w:b w:val="0"/>
          <w:bCs w:val="0"/>
          <w:sz w:val="24"/>
          <w:lang w:eastAsia="ar-SA"/>
        </w:rPr>
        <w:t xml:space="preserve"> </w:t>
      </w:r>
    </w:p>
    <w:p w:rsidR="008C1863" w:rsidRPr="00B84CBC" w:rsidRDefault="008C1863" w:rsidP="00384172">
      <w:pPr>
        <w:pStyle w:val="2"/>
        <w:keepNext/>
        <w:suppressLineNumbers/>
        <w:suppressAutoHyphens/>
        <w:ind w:firstLine="708"/>
        <w:contextualSpacing/>
      </w:pPr>
      <w:r w:rsidRPr="00B84CBC">
        <w:rPr>
          <w:b w:val="0"/>
          <w:bCs w:val="0"/>
          <w:sz w:val="24"/>
        </w:rPr>
        <w:t xml:space="preserve">По состоянию на 01.01.2019 на учете граждан, нуждающихся в предоставлении жилых помещений по договорам социального найма состояло 879 семей. </w:t>
      </w:r>
      <w:r w:rsidR="00384172" w:rsidRPr="00B84CBC">
        <w:rPr>
          <w:b w:val="0"/>
          <w:bCs w:val="0"/>
          <w:sz w:val="24"/>
        </w:rPr>
        <w:t>3</w:t>
      </w:r>
      <w:r w:rsidRPr="00B84CBC">
        <w:rPr>
          <w:b w:val="0"/>
          <w:bCs w:val="0"/>
          <w:sz w:val="24"/>
        </w:rPr>
        <w:t xml:space="preserve"> жилых помещения  предоставлено по договорам социального найма</w:t>
      </w:r>
      <w:r w:rsidR="00384172" w:rsidRPr="00B84CBC">
        <w:rPr>
          <w:b w:val="0"/>
          <w:bCs w:val="0"/>
          <w:sz w:val="24"/>
        </w:rPr>
        <w:t>, п</w:t>
      </w:r>
      <w:r w:rsidRPr="00B84CBC">
        <w:rPr>
          <w:b w:val="0"/>
          <w:bCs w:val="0"/>
          <w:sz w:val="24"/>
        </w:rPr>
        <w:t>о договорам найма предоставлено 19  жилых помещений, из них 9 предостав</w:t>
      </w:r>
      <w:r w:rsidR="00384172" w:rsidRPr="00B84CBC">
        <w:rPr>
          <w:b w:val="0"/>
          <w:bCs w:val="0"/>
          <w:sz w:val="24"/>
        </w:rPr>
        <w:t xml:space="preserve">лены лицам из числа детей-сирот, </w:t>
      </w:r>
      <w:r w:rsidRPr="00B84CBC">
        <w:rPr>
          <w:b w:val="0"/>
          <w:bCs w:val="0"/>
          <w:sz w:val="24"/>
        </w:rPr>
        <w:t>2 семьям вручены свидетельства о праве на получение социальной выплаты на приобретение жилого помещения или создание объекта индивиду</w:t>
      </w:r>
      <w:r w:rsidR="00384172" w:rsidRPr="00B84CBC">
        <w:rPr>
          <w:b w:val="0"/>
          <w:bCs w:val="0"/>
          <w:sz w:val="24"/>
        </w:rPr>
        <w:t>ального жилищного строительства, по</w:t>
      </w:r>
      <w:r w:rsidRPr="00B84CBC">
        <w:rPr>
          <w:b w:val="0"/>
          <w:bCs w:val="0"/>
          <w:sz w:val="24"/>
        </w:rPr>
        <w:t xml:space="preserve">лучили социальную выплату на приобретение жилья, за счет средств федерального бюджета, относящиеся к числу лиц, нуждающихся в улучшении жилищных условий </w:t>
      </w:r>
      <w:r w:rsidR="00384172" w:rsidRPr="00B84CBC">
        <w:rPr>
          <w:b w:val="0"/>
          <w:bCs w:val="0"/>
          <w:sz w:val="24"/>
        </w:rPr>
        <w:t xml:space="preserve">- </w:t>
      </w:r>
      <w:r w:rsidRPr="00B84CBC">
        <w:rPr>
          <w:b w:val="0"/>
          <w:bCs w:val="0"/>
          <w:sz w:val="24"/>
        </w:rPr>
        <w:t>2 вдовы участников ВОВ.</w:t>
      </w:r>
    </w:p>
    <w:p w:rsidR="008C1863" w:rsidRPr="00B84CBC" w:rsidRDefault="008C1863" w:rsidP="00384172">
      <w:pPr>
        <w:pStyle w:val="a7"/>
        <w:keepNext/>
        <w:suppressLineNumbers/>
        <w:suppressAutoHyphens/>
        <w:contextualSpacing/>
        <w:jc w:val="both"/>
        <w:rPr>
          <w:bCs/>
        </w:rPr>
      </w:pPr>
      <w:r w:rsidRPr="00B84CBC">
        <w:rPr>
          <w:bCs/>
        </w:rPr>
        <w:t xml:space="preserve">          За 2019 год с учета граждан, нуждающихся в жилых помещениях, предоставляемых по договорам социального найма, было снято 4 семьи</w:t>
      </w:r>
      <w:r w:rsidR="00384172" w:rsidRPr="00B84CBC">
        <w:rPr>
          <w:bCs/>
        </w:rPr>
        <w:t xml:space="preserve">, </w:t>
      </w:r>
      <w:r w:rsidRPr="00B84CBC">
        <w:rPr>
          <w:bCs/>
        </w:rPr>
        <w:t>принято 13 семей</w:t>
      </w:r>
      <w:r w:rsidR="00384172" w:rsidRPr="00B84CBC">
        <w:rPr>
          <w:bCs/>
        </w:rPr>
        <w:t>, таким</w:t>
      </w:r>
      <w:r w:rsidRPr="00B84CBC">
        <w:rPr>
          <w:bCs/>
        </w:rPr>
        <w:t xml:space="preserve"> образом, количество семей, состоящих на учете граждан в качестве нуждающихся в жилых помещениях, предоставляемых по договорам социального найма на конец 2019 года составило 888.</w:t>
      </w:r>
    </w:p>
    <w:p w:rsidR="008C1863" w:rsidRPr="00B84CBC" w:rsidRDefault="008C1863" w:rsidP="00B66BDD">
      <w:pPr>
        <w:pStyle w:val="2"/>
        <w:keepNext/>
        <w:suppressLineNumbers/>
        <w:suppressAutoHyphens/>
        <w:ind w:firstLine="708"/>
        <w:contextualSpacing/>
        <w:rPr>
          <w:b w:val="0"/>
          <w:bCs w:val="0"/>
          <w:sz w:val="10"/>
          <w:szCs w:val="10"/>
        </w:rPr>
      </w:pPr>
      <w:r w:rsidRPr="00B84CBC">
        <w:rPr>
          <w:b w:val="0"/>
          <w:bCs w:val="0"/>
          <w:sz w:val="24"/>
        </w:rPr>
        <w:t>Принимая во внимание цели и задачи государственных органов власти, а также органов местного самоуправления, направленные на улучшение жилищных условий граждан путем предоставления социальных выплат на приобретение жилых помещений, строительство жилых домов, а также предоставления земельных участков под индивидуальное жилищное строительство, планируется в плановом периоде на 2020-2022 годы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составит не менее 2,6%.</w:t>
      </w:r>
    </w:p>
    <w:p w:rsidR="00BF18F6" w:rsidRPr="00B84CBC" w:rsidRDefault="00BF18F6" w:rsidP="00B66BDD">
      <w:pPr>
        <w:pStyle w:val="2"/>
        <w:keepNext/>
        <w:suppressLineNumbers/>
        <w:suppressAutoHyphens/>
        <w:ind w:firstLine="708"/>
        <w:contextualSpacing/>
        <w:rPr>
          <w:b w:val="0"/>
          <w:bCs w:val="0"/>
          <w:sz w:val="10"/>
          <w:szCs w:val="10"/>
        </w:rPr>
      </w:pPr>
    </w:p>
    <w:p w:rsidR="006039EB" w:rsidRPr="00B84CBC" w:rsidRDefault="006039EB" w:rsidP="00B66BDD">
      <w:pPr>
        <w:keepNext/>
        <w:suppressLineNumbers/>
        <w:suppressAutoHyphens/>
        <w:contextualSpacing/>
        <w:jc w:val="both"/>
        <w:rPr>
          <w:i/>
        </w:rPr>
      </w:pPr>
      <w:r w:rsidRPr="00B84CBC">
        <w:rPr>
          <w:b/>
        </w:rPr>
        <w:t xml:space="preserve">Показатель №31 </w:t>
      </w:r>
      <w:r w:rsidRPr="00B84CBC">
        <w:rPr>
          <w:i/>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BD27B4" w:rsidRPr="00B84CBC" w:rsidRDefault="00BD27B4" w:rsidP="00B66BDD">
      <w:pPr>
        <w:keepNext/>
        <w:suppressLineNumbers/>
        <w:suppressAutoHyphens/>
        <w:ind w:firstLine="708"/>
        <w:contextualSpacing/>
        <w:jc w:val="both"/>
      </w:pPr>
      <w:r w:rsidRPr="00B84CBC">
        <w:t>За 2018 года показатель по сравнению с 2017 годом снизился до 40,2%. Снижение произошло за счет увеличения объема безвозмездных поступлений (без учета субвенций) и отсутствием существенного роста по налоговым и неналоговым доходам за исключением поступлений налоговых доходов по дополнительным нормативам отчислений.</w:t>
      </w:r>
    </w:p>
    <w:p w:rsidR="00BD27B4" w:rsidRPr="00B84CBC" w:rsidRDefault="00BD27B4" w:rsidP="00B66BDD">
      <w:pPr>
        <w:keepNext/>
        <w:suppressLineNumbers/>
        <w:suppressAutoHyphens/>
        <w:ind w:firstLine="708"/>
        <w:contextualSpacing/>
        <w:jc w:val="both"/>
      </w:pPr>
      <w:r w:rsidRPr="00B84CBC">
        <w:t>Показатель в 2019 году по сравнению к 2018 году увеличился до 41,6%. Данный рост обусловлен тем, что темп снижения общего объема доходов, а также собственных доходов (без учета субвенций) превысил темп снижение налоговых и неналоговых доходов за исключением поступлений налоговых доходов по дополнительным нормативам отчислений. Общий объем доходов снизился на 10,5%, собственных доходов (без учета субвенций) на 10,2%, тогда как поступления по налоговым и неналоговым доходам за исключением поступлений налоговых доходов по дополнительным нормативам отчислений снизились на 7,2%.</w:t>
      </w:r>
    </w:p>
    <w:p w:rsidR="00BD27B4" w:rsidRPr="00B84CBC" w:rsidRDefault="00BD27B4" w:rsidP="00B66BDD">
      <w:pPr>
        <w:keepNext/>
        <w:suppressLineNumbers/>
        <w:suppressAutoHyphens/>
        <w:ind w:firstLine="720"/>
        <w:contextualSpacing/>
        <w:jc w:val="both"/>
      </w:pPr>
      <w:r w:rsidRPr="00B84CBC">
        <w:t xml:space="preserve">На 2020-2022 годы доля налоговых и неналоговых доходов (за исключением поступлений налоговых доходов по дополнительным нормативам отчислений) в общем объеме собственных доходов </w:t>
      </w:r>
      <w:r w:rsidR="00384172" w:rsidRPr="00B84CBC">
        <w:t>запланирована</w:t>
      </w:r>
      <w:r w:rsidRPr="00B84CBC">
        <w:t> </w:t>
      </w:r>
      <w:r w:rsidR="00384172" w:rsidRPr="00B84CBC">
        <w:t>-</w:t>
      </w:r>
      <w:r w:rsidRPr="00B84CBC">
        <w:t xml:space="preserve"> 47,9%, 46,5% и 45,7%.   </w:t>
      </w:r>
    </w:p>
    <w:p w:rsidR="00BD27B4" w:rsidRPr="00B84CBC" w:rsidRDefault="00BD27B4" w:rsidP="00B66BDD">
      <w:pPr>
        <w:keepNext/>
        <w:suppressLineNumbers/>
        <w:suppressAutoHyphens/>
        <w:ind w:firstLine="720"/>
        <w:contextualSpacing/>
        <w:jc w:val="both"/>
      </w:pPr>
      <w:r w:rsidRPr="00B84CBC">
        <w:t>Снижение показателя относительно 2017 года  обусловлено тем, что:</w:t>
      </w:r>
    </w:p>
    <w:p w:rsidR="00BD27B4" w:rsidRPr="00B84CBC" w:rsidRDefault="00BD27B4" w:rsidP="00B66BDD">
      <w:pPr>
        <w:keepNext/>
        <w:suppressLineNumbers/>
        <w:suppressAutoHyphens/>
        <w:ind w:firstLine="720"/>
        <w:contextualSpacing/>
        <w:jc w:val="both"/>
      </w:pPr>
      <w:r w:rsidRPr="00B84CBC">
        <w:lastRenderedPageBreak/>
        <w:t>- объем собственных доходов увеличился за счет утверждения муниципальному образованию город Саяногорск дополнительного норматива отчислений от налога на доходы физических лиц в размере 30% на 2018-2019 г</w:t>
      </w:r>
      <w:r w:rsidR="00384172" w:rsidRPr="00B84CBC">
        <w:t>г.</w:t>
      </w:r>
      <w:r w:rsidRPr="00B84CBC">
        <w:t xml:space="preserve">, на 2020-2022 </w:t>
      </w:r>
      <w:r w:rsidR="00384172" w:rsidRPr="00B84CBC">
        <w:t xml:space="preserve">гг. </w:t>
      </w:r>
      <w:r w:rsidRPr="00B84CBC">
        <w:t>– в размере 29% (на 2017 год утверждался в размере 10%);</w:t>
      </w:r>
    </w:p>
    <w:p w:rsidR="00BD27B4" w:rsidRPr="00B84CBC" w:rsidRDefault="00BD27B4" w:rsidP="00B66BDD">
      <w:pPr>
        <w:keepNext/>
        <w:suppressLineNumbers/>
        <w:suppressAutoHyphens/>
        <w:ind w:firstLine="720"/>
        <w:contextualSpacing/>
        <w:jc w:val="both"/>
      </w:pPr>
      <w:r w:rsidRPr="00B84CBC">
        <w:t>- отсутствует существенный рост по налоговым и неналоговым доходам за исключением поступлений налоговых доходов по дополнительным нормативам отчислений.</w:t>
      </w:r>
    </w:p>
    <w:p w:rsidR="00CF6B63" w:rsidRPr="00B84CBC" w:rsidRDefault="00CF6B63" w:rsidP="00B66BDD">
      <w:pPr>
        <w:keepNext/>
        <w:suppressLineNumbers/>
        <w:tabs>
          <w:tab w:val="left" w:pos="540"/>
        </w:tabs>
        <w:suppressAutoHyphens/>
        <w:contextualSpacing/>
        <w:jc w:val="both"/>
        <w:rPr>
          <w:sz w:val="12"/>
          <w:szCs w:val="12"/>
        </w:rPr>
      </w:pPr>
    </w:p>
    <w:p w:rsidR="005B0DC1" w:rsidRPr="00B84CBC" w:rsidRDefault="00122928" w:rsidP="00B66BDD">
      <w:pPr>
        <w:keepNext/>
        <w:suppressLineNumbers/>
        <w:suppressAutoHyphens/>
        <w:ind w:firstLine="720"/>
        <w:contextualSpacing/>
        <w:jc w:val="center"/>
        <w:rPr>
          <w:i/>
          <w:sz w:val="20"/>
          <w:szCs w:val="20"/>
        </w:rPr>
      </w:pPr>
      <w:r w:rsidRPr="00B84CBC">
        <w:rPr>
          <w:i/>
          <w:sz w:val="20"/>
          <w:szCs w:val="20"/>
        </w:rPr>
        <w:t xml:space="preserve">Таблица расчета доли налоговых и неналоговых доходов(за исключением поступлений налоговых доходов по дополнительным нормативам отчислений) в общем объеме собственных доходов бюджета </w:t>
      </w:r>
      <w:r w:rsidR="00003075" w:rsidRPr="00B84CBC">
        <w:rPr>
          <w:i/>
          <w:sz w:val="20"/>
          <w:szCs w:val="20"/>
        </w:rPr>
        <w:t xml:space="preserve">МО г.Саяногорск </w:t>
      </w:r>
      <w:r w:rsidRPr="00B84CBC">
        <w:rPr>
          <w:i/>
          <w:sz w:val="20"/>
          <w:szCs w:val="20"/>
        </w:rPr>
        <w:t>(без учета субвенций).</w:t>
      </w:r>
      <w:r w:rsidR="004D00FE" w:rsidRPr="00B84CBC">
        <w:rPr>
          <w:i/>
          <w:sz w:val="20"/>
          <w:szCs w:val="20"/>
        </w:rPr>
        <w:t xml:space="preserve">   </w:t>
      </w:r>
    </w:p>
    <w:tbl>
      <w:tblPr>
        <w:tblW w:w="9793" w:type="dxa"/>
        <w:tblInd w:w="96" w:type="dxa"/>
        <w:tblLayout w:type="fixed"/>
        <w:tblLook w:val="04A0"/>
      </w:tblPr>
      <w:tblGrid>
        <w:gridCol w:w="1900"/>
        <w:gridCol w:w="947"/>
        <w:gridCol w:w="329"/>
        <w:gridCol w:w="236"/>
        <w:gridCol w:w="427"/>
        <w:gridCol w:w="423"/>
        <w:gridCol w:w="570"/>
        <w:gridCol w:w="565"/>
        <w:gridCol w:w="427"/>
        <w:gridCol w:w="707"/>
        <w:gridCol w:w="285"/>
        <w:gridCol w:w="565"/>
        <w:gridCol w:w="427"/>
        <w:gridCol w:w="993"/>
        <w:gridCol w:w="992"/>
      </w:tblGrid>
      <w:tr w:rsidR="007F0867" w:rsidRPr="00B84CBC" w:rsidTr="00B84CBC">
        <w:trPr>
          <w:trHeight w:val="20"/>
        </w:trPr>
        <w:tc>
          <w:tcPr>
            <w:tcW w:w="1900" w:type="dxa"/>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1276" w:type="dxa"/>
            <w:gridSpan w:val="2"/>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236" w:type="dxa"/>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850" w:type="dxa"/>
            <w:gridSpan w:val="2"/>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1135" w:type="dxa"/>
            <w:gridSpan w:val="2"/>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1134" w:type="dxa"/>
            <w:gridSpan w:val="2"/>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sz w:val="16"/>
                <w:szCs w:val="16"/>
              </w:rPr>
            </w:pPr>
          </w:p>
        </w:tc>
        <w:tc>
          <w:tcPr>
            <w:tcW w:w="850" w:type="dxa"/>
            <w:gridSpan w:val="2"/>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rPr>
                <w:i/>
                <w:iCs/>
                <w:sz w:val="16"/>
                <w:szCs w:val="16"/>
              </w:rPr>
            </w:pPr>
          </w:p>
        </w:tc>
        <w:tc>
          <w:tcPr>
            <w:tcW w:w="2412" w:type="dxa"/>
            <w:gridSpan w:val="3"/>
            <w:tcBorders>
              <w:top w:val="nil"/>
              <w:left w:val="nil"/>
              <w:bottom w:val="nil"/>
              <w:right w:val="nil"/>
            </w:tcBorders>
            <w:shd w:val="clear" w:color="auto" w:fill="auto"/>
            <w:noWrap/>
            <w:vAlign w:val="bottom"/>
            <w:hideMark/>
          </w:tcPr>
          <w:p w:rsidR="007F0867" w:rsidRPr="00B84CBC" w:rsidRDefault="007F0867" w:rsidP="00B66BDD">
            <w:pPr>
              <w:keepNext/>
              <w:suppressLineNumbers/>
              <w:suppressAutoHyphens/>
              <w:contextualSpacing/>
              <w:jc w:val="right"/>
              <w:rPr>
                <w:i/>
                <w:iCs/>
                <w:sz w:val="16"/>
                <w:szCs w:val="16"/>
              </w:rPr>
            </w:pPr>
            <w:r w:rsidRPr="00B84CBC">
              <w:rPr>
                <w:i/>
                <w:iCs/>
                <w:sz w:val="16"/>
                <w:szCs w:val="16"/>
              </w:rPr>
              <w:t>тыс.руб.</w:t>
            </w:r>
          </w:p>
        </w:tc>
      </w:tr>
      <w:tr w:rsidR="007F0867" w:rsidRPr="00B84CBC" w:rsidTr="00B84CBC">
        <w:trPr>
          <w:trHeight w:val="20"/>
        </w:trPr>
        <w:tc>
          <w:tcPr>
            <w:tcW w:w="284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16"/>
                <w:szCs w:val="16"/>
              </w:rPr>
            </w:pPr>
            <w:r w:rsidRPr="00B84CBC">
              <w:rPr>
                <w:sz w:val="16"/>
                <w:szCs w:val="16"/>
              </w:rPr>
              <w:t> </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2017 год факт</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2018 год факт</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2019 год план</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2019 год факт</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2020 год план</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2021 год план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F0867" w:rsidRPr="00B84CBC" w:rsidRDefault="007F0867" w:rsidP="00B66BDD">
            <w:pPr>
              <w:keepNext/>
              <w:suppressLineNumbers/>
              <w:suppressAutoHyphens/>
              <w:contextualSpacing/>
              <w:jc w:val="center"/>
              <w:rPr>
                <w:sz w:val="16"/>
                <w:szCs w:val="16"/>
              </w:rPr>
            </w:pPr>
            <w:r w:rsidRPr="00B84CBC">
              <w:rPr>
                <w:sz w:val="16"/>
                <w:szCs w:val="16"/>
              </w:rPr>
              <w:t>2022 год план</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Налоговые и неналоговые доходы</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469 253,9</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713 991,0</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704 903,9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702 079,4</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741 874,4</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757 243,3</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778 947,1</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ind w:right="-108"/>
              <w:contextualSpacing/>
              <w:rPr>
                <w:sz w:val="20"/>
                <w:szCs w:val="20"/>
              </w:rPr>
            </w:pPr>
            <w:r w:rsidRPr="00B84CBC">
              <w:rPr>
                <w:sz w:val="20"/>
                <w:szCs w:val="20"/>
              </w:rPr>
              <w:t>в том числе:</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Налоговые доходы по дополнительным нормативам отчислений в соответствии со ст. 58 БК</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104 680,7</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337 189,5</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349 794,0</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352 238,6</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357 162,7</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376 579,5</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391 690,5</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Налоговые и неналоговые доходы за исключением  поступлений налоговых доходов по дополнительным нормативам отчислений в соответствии со ст. 58 БК</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364 573,2</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376 801,5</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355 109,9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349 840,8</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384 711,7</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380 663,8</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387 256,6</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Безвозмездные поступления, всего</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793 981,1</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946 736,9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868 280,9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784 470,9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836 100,0</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761 460,2</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843 408,6</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в том числе:</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rPr>
                <w:sz w:val="20"/>
                <w:szCs w:val="20"/>
              </w:rPr>
            </w:pPr>
            <w:r w:rsidRPr="00B84CBC">
              <w:rPr>
                <w:sz w:val="20"/>
                <w:szCs w:val="20"/>
              </w:rPr>
              <w:t> </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субвенции</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711 906,5</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723 465,1</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726 424,0</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644 966,6</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774 941,0</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700 250,0</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774 495,0</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Собственные доходы (без учета субвенций)</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551 328,5</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937 262,8</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846 760,8</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841 583,7</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803 033,4</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818 453,5</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847 860,7</w:t>
            </w:r>
          </w:p>
        </w:tc>
      </w:tr>
      <w:tr w:rsidR="007F0867" w:rsidRPr="00B84CBC" w:rsidTr="00B84CBC">
        <w:trPr>
          <w:trHeight w:val="20"/>
        </w:trPr>
        <w:tc>
          <w:tcPr>
            <w:tcW w:w="2847" w:type="dxa"/>
            <w:gridSpan w:val="2"/>
            <w:tcBorders>
              <w:top w:val="nil"/>
              <w:left w:val="single" w:sz="4" w:space="0" w:color="auto"/>
              <w:bottom w:val="single" w:sz="4" w:space="0" w:color="auto"/>
              <w:right w:val="single" w:sz="4" w:space="0" w:color="auto"/>
            </w:tcBorders>
            <w:shd w:val="clear" w:color="auto" w:fill="auto"/>
            <w:vAlign w:val="bottom"/>
            <w:hideMark/>
          </w:tcPr>
          <w:p w:rsidR="007F0867" w:rsidRPr="00B84CBC" w:rsidRDefault="007F0867" w:rsidP="00B66BDD">
            <w:pPr>
              <w:keepNext/>
              <w:suppressLineNumbers/>
              <w:suppressAutoHyphens/>
              <w:contextualSpacing/>
              <w:rPr>
                <w:sz w:val="20"/>
                <w:szCs w:val="20"/>
              </w:rPr>
            </w:pPr>
            <w:r w:rsidRPr="00B84CBC">
              <w:rPr>
                <w:sz w:val="20"/>
                <w:szCs w:val="20"/>
              </w:rPr>
              <w:t>Доля налоговых и неналоговых доходов (за исключением поступлений налоговых доходов по дополнительным нормативам отчислений) в общем объеме собственных доходов (без учета субвенций)</w:t>
            </w:r>
          </w:p>
        </w:tc>
        <w:tc>
          <w:tcPr>
            <w:tcW w:w="992" w:type="dxa"/>
            <w:gridSpan w:val="3"/>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66,1</w:t>
            </w:r>
          </w:p>
        </w:tc>
        <w:tc>
          <w:tcPr>
            <w:tcW w:w="993"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40,2</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41,9</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41,6</w:t>
            </w:r>
          </w:p>
        </w:tc>
        <w:tc>
          <w:tcPr>
            <w:tcW w:w="992" w:type="dxa"/>
            <w:gridSpan w:val="2"/>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47,9</w:t>
            </w:r>
          </w:p>
        </w:tc>
        <w:tc>
          <w:tcPr>
            <w:tcW w:w="993"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46,5</w:t>
            </w:r>
          </w:p>
        </w:tc>
        <w:tc>
          <w:tcPr>
            <w:tcW w:w="992" w:type="dxa"/>
            <w:tcBorders>
              <w:top w:val="nil"/>
              <w:left w:val="nil"/>
              <w:bottom w:val="single" w:sz="4" w:space="0" w:color="auto"/>
              <w:right w:val="single" w:sz="4" w:space="0" w:color="auto"/>
            </w:tcBorders>
            <w:shd w:val="clear" w:color="auto" w:fill="auto"/>
            <w:vAlign w:val="bottom"/>
            <w:hideMark/>
          </w:tcPr>
          <w:p w:rsidR="007F0867" w:rsidRPr="00B84CBC" w:rsidRDefault="007F0867" w:rsidP="00B84CBC">
            <w:pPr>
              <w:keepNext/>
              <w:suppressLineNumbers/>
              <w:tabs>
                <w:tab w:val="left" w:pos="34"/>
              </w:tabs>
              <w:suppressAutoHyphens/>
              <w:ind w:left="-108"/>
              <w:contextualSpacing/>
              <w:jc w:val="right"/>
              <w:rPr>
                <w:sz w:val="20"/>
                <w:szCs w:val="20"/>
              </w:rPr>
            </w:pPr>
            <w:r w:rsidRPr="00B84CBC">
              <w:rPr>
                <w:sz w:val="20"/>
                <w:szCs w:val="20"/>
              </w:rPr>
              <w:t>45,7</w:t>
            </w:r>
          </w:p>
        </w:tc>
      </w:tr>
    </w:tbl>
    <w:p w:rsidR="00BF18F6" w:rsidRPr="00B84CBC" w:rsidRDefault="00BF18F6" w:rsidP="00B66BDD">
      <w:pPr>
        <w:keepNext/>
        <w:suppressLineNumbers/>
        <w:suppressAutoHyphens/>
        <w:contextualSpacing/>
        <w:jc w:val="both"/>
        <w:rPr>
          <w:b/>
          <w:sz w:val="10"/>
          <w:szCs w:val="10"/>
        </w:rPr>
      </w:pPr>
    </w:p>
    <w:p w:rsidR="006039EB" w:rsidRPr="00B84CBC" w:rsidRDefault="006039EB" w:rsidP="00B66BDD">
      <w:pPr>
        <w:keepNext/>
        <w:suppressLineNumbers/>
        <w:suppressAutoHyphens/>
        <w:contextualSpacing/>
        <w:jc w:val="both"/>
        <w:rPr>
          <w:i/>
        </w:rPr>
      </w:pPr>
      <w:r w:rsidRPr="00B84CBC">
        <w:rPr>
          <w:b/>
        </w:rPr>
        <w:t>Показателя №32</w:t>
      </w:r>
      <w:r w:rsidRPr="00B84CBC">
        <w:rPr>
          <w:i/>
          <w:lang w:eastAsia="ar-SA"/>
        </w:rPr>
        <w:t xml:space="preserve"> </w:t>
      </w:r>
      <w:r w:rsidRPr="00B84CBC">
        <w:rPr>
          <w:i/>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2142E3" w:rsidRPr="00B84CBC" w:rsidRDefault="00813EF0" w:rsidP="00B66BDD">
      <w:pPr>
        <w:keepNext/>
        <w:suppressLineNumbers/>
        <w:suppressAutoHyphens/>
        <w:ind w:firstLine="709"/>
        <w:contextualSpacing/>
        <w:jc w:val="both"/>
        <w:rPr>
          <w:lang w:eastAsia="ar-SA"/>
        </w:rPr>
      </w:pPr>
      <w:r w:rsidRPr="00B84CBC">
        <w:t>Организаций муниципальной формы собственности</w:t>
      </w:r>
      <w:r w:rsidR="002142E3" w:rsidRPr="00B84CBC">
        <w:t xml:space="preserve"> в МО г.Саяногорск</w:t>
      </w:r>
      <w:r w:rsidRPr="00B84CBC">
        <w:t>, находящихся в стадии банкротства,</w:t>
      </w:r>
      <w:r w:rsidRPr="00B84CBC">
        <w:rPr>
          <w:lang w:eastAsia="ar-SA"/>
        </w:rPr>
        <w:t xml:space="preserve"> -</w:t>
      </w:r>
      <w:r w:rsidR="003A6AA0" w:rsidRPr="00B84CBC">
        <w:rPr>
          <w:lang w:eastAsia="ar-SA"/>
        </w:rPr>
        <w:t xml:space="preserve"> нет.</w:t>
      </w:r>
      <w:r w:rsidR="005B0DC1" w:rsidRPr="00B84CBC">
        <w:rPr>
          <w:lang w:eastAsia="ar-SA"/>
        </w:rPr>
        <w:t xml:space="preserve"> </w:t>
      </w:r>
      <w:r w:rsidR="002142E3" w:rsidRPr="00B84CBC">
        <w:rPr>
          <w:lang w:eastAsia="ar-SA"/>
        </w:rPr>
        <w:t xml:space="preserve">Значения данного показателя за </w:t>
      </w:r>
      <w:r w:rsidR="00442CB8" w:rsidRPr="00B84CBC">
        <w:rPr>
          <w:lang w:eastAsia="ar-SA"/>
        </w:rPr>
        <w:t>2</w:t>
      </w:r>
      <w:r w:rsidR="002142E3" w:rsidRPr="00B84CBC">
        <w:rPr>
          <w:lang w:eastAsia="ar-SA"/>
        </w:rPr>
        <w:t>01</w:t>
      </w:r>
      <w:r w:rsidR="000D310B" w:rsidRPr="00B84CBC">
        <w:rPr>
          <w:lang w:eastAsia="ar-SA"/>
        </w:rPr>
        <w:t>9</w:t>
      </w:r>
      <w:r w:rsidR="002142E3" w:rsidRPr="00B84CBC">
        <w:rPr>
          <w:lang w:eastAsia="ar-SA"/>
        </w:rPr>
        <w:t xml:space="preserve"> </w:t>
      </w:r>
      <w:r w:rsidR="00384172" w:rsidRPr="00B84CBC">
        <w:rPr>
          <w:lang w:eastAsia="ar-SA"/>
        </w:rPr>
        <w:t xml:space="preserve">год – 0 </w:t>
      </w:r>
      <w:r w:rsidR="002142E3" w:rsidRPr="00B84CBC">
        <w:rPr>
          <w:lang w:eastAsia="ar-SA"/>
        </w:rPr>
        <w:t xml:space="preserve">и на плановый период </w:t>
      </w:r>
      <w:r w:rsidR="00384172" w:rsidRPr="00B84CBC">
        <w:rPr>
          <w:lang w:eastAsia="ar-SA"/>
        </w:rPr>
        <w:t xml:space="preserve">2020-2022 гг. </w:t>
      </w:r>
      <w:r w:rsidR="002142E3" w:rsidRPr="00B84CBC">
        <w:rPr>
          <w:lang w:eastAsia="ar-SA"/>
        </w:rPr>
        <w:t xml:space="preserve">- 0.  </w:t>
      </w:r>
    </w:p>
    <w:p w:rsidR="0072579E" w:rsidRPr="00B84CBC" w:rsidRDefault="0072579E" w:rsidP="00B66BDD">
      <w:pPr>
        <w:pStyle w:val="af7"/>
        <w:keepNext/>
        <w:suppressLineNumbers/>
        <w:suppressAutoHyphens/>
        <w:contextualSpacing/>
        <w:jc w:val="both"/>
        <w:rPr>
          <w:rFonts w:ascii="Times New Roman" w:eastAsia="Times New Roman" w:hAnsi="Times New Roman"/>
          <w:b/>
          <w:sz w:val="10"/>
          <w:szCs w:val="10"/>
          <w:lang w:eastAsia="ru-RU"/>
        </w:rPr>
      </w:pPr>
    </w:p>
    <w:p w:rsidR="006039EB" w:rsidRPr="00B84CBC" w:rsidRDefault="006039EB" w:rsidP="00B66BDD">
      <w:pPr>
        <w:pStyle w:val="af7"/>
        <w:keepNext/>
        <w:suppressLineNumbers/>
        <w:suppressAutoHyphens/>
        <w:contextualSpacing/>
        <w:jc w:val="both"/>
        <w:rPr>
          <w:rFonts w:ascii="Times New Roman" w:eastAsia="Times New Roman" w:hAnsi="Times New Roman"/>
          <w:i/>
          <w:sz w:val="24"/>
          <w:szCs w:val="24"/>
          <w:lang w:eastAsia="ru-RU"/>
        </w:rPr>
      </w:pPr>
      <w:r w:rsidRPr="00B84CBC">
        <w:rPr>
          <w:rFonts w:ascii="Times New Roman" w:eastAsia="Times New Roman" w:hAnsi="Times New Roman"/>
          <w:b/>
          <w:sz w:val="24"/>
          <w:szCs w:val="24"/>
          <w:lang w:eastAsia="ru-RU"/>
        </w:rPr>
        <w:t>Показатель №33</w:t>
      </w:r>
      <w:r w:rsidRPr="00B84CBC">
        <w:rPr>
          <w:rFonts w:ascii="Times New Roman" w:hAnsi="Times New Roman"/>
          <w:sz w:val="24"/>
          <w:szCs w:val="24"/>
        </w:rPr>
        <w:t xml:space="preserve"> </w:t>
      </w:r>
      <w:r w:rsidRPr="00B84CBC">
        <w:rPr>
          <w:rFonts w:ascii="Times New Roman" w:eastAsia="Times New Roman" w:hAnsi="Times New Roman"/>
          <w:i/>
          <w:sz w:val="24"/>
          <w:szCs w:val="24"/>
          <w:lang w:eastAsia="ru-RU"/>
        </w:rPr>
        <w:t>«Объем незавершенного в установленные сроки строительства, осуществляемого за счет средств бюджета городского округа (муниципального района)»</w:t>
      </w:r>
    </w:p>
    <w:tbl>
      <w:tblPr>
        <w:tblW w:w="9794" w:type="dxa"/>
        <w:tblInd w:w="96" w:type="dxa"/>
        <w:tblLook w:val="0000"/>
      </w:tblPr>
      <w:tblGrid>
        <w:gridCol w:w="491"/>
        <w:gridCol w:w="3207"/>
        <w:gridCol w:w="833"/>
        <w:gridCol w:w="854"/>
        <w:gridCol w:w="867"/>
        <w:gridCol w:w="994"/>
        <w:gridCol w:w="854"/>
        <w:gridCol w:w="882"/>
        <w:gridCol w:w="812"/>
      </w:tblGrid>
      <w:tr w:rsidR="00AE20FC" w:rsidRPr="00B84CBC" w:rsidTr="00384172">
        <w:trPr>
          <w:trHeight w:val="204"/>
        </w:trPr>
        <w:tc>
          <w:tcPr>
            <w:tcW w:w="491" w:type="dxa"/>
            <w:vMerge w:val="restart"/>
            <w:tcBorders>
              <w:top w:val="single" w:sz="4" w:space="0" w:color="auto"/>
              <w:left w:val="single" w:sz="4" w:space="0" w:color="auto"/>
              <w:bottom w:val="single" w:sz="4" w:space="0" w:color="auto"/>
              <w:right w:val="single" w:sz="4" w:space="0" w:color="auto"/>
            </w:tcBorders>
            <w:shd w:val="clear" w:color="auto" w:fill="auto"/>
          </w:tcPr>
          <w:p w:rsidR="00AE20FC" w:rsidRPr="00B84CBC" w:rsidRDefault="00AE20FC" w:rsidP="00B66BDD">
            <w:pPr>
              <w:keepNext/>
              <w:suppressLineNumbers/>
              <w:suppressAutoHyphens/>
              <w:contextualSpacing/>
              <w:jc w:val="center"/>
              <w:rPr>
                <w:sz w:val="20"/>
                <w:szCs w:val="20"/>
              </w:rPr>
            </w:pPr>
            <w:r w:rsidRPr="00B84CBC">
              <w:rPr>
                <w:sz w:val="20"/>
                <w:szCs w:val="20"/>
              </w:rPr>
              <w:t>№</w:t>
            </w:r>
            <w:r w:rsidRPr="00B84CBC">
              <w:rPr>
                <w:sz w:val="20"/>
                <w:szCs w:val="20"/>
              </w:rPr>
              <w:br/>
              <w:t>п/п</w:t>
            </w:r>
          </w:p>
        </w:tc>
        <w:tc>
          <w:tcPr>
            <w:tcW w:w="320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Наименование показателей</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tcPr>
          <w:p w:rsidR="00AE20FC" w:rsidRPr="00B84CBC" w:rsidRDefault="00AE20FC" w:rsidP="00B66BDD">
            <w:pPr>
              <w:keepNext/>
              <w:suppressLineNumbers/>
              <w:suppressAutoHyphens/>
              <w:contextualSpacing/>
              <w:jc w:val="center"/>
              <w:rPr>
                <w:sz w:val="20"/>
                <w:szCs w:val="20"/>
              </w:rPr>
            </w:pPr>
            <w:r w:rsidRPr="00B84CBC">
              <w:rPr>
                <w:sz w:val="20"/>
                <w:szCs w:val="20"/>
              </w:rPr>
              <w:t>Ед.</w:t>
            </w:r>
            <w:r w:rsidRPr="00B84CBC">
              <w:rPr>
                <w:sz w:val="20"/>
                <w:szCs w:val="20"/>
              </w:rPr>
              <w:br/>
              <w:t>изм.</w:t>
            </w:r>
          </w:p>
        </w:tc>
        <w:tc>
          <w:tcPr>
            <w:tcW w:w="5263" w:type="dxa"/>
            <w:gridSpan w:val="6"/>
            <w:tcBorders>
              <w:top w:val="single" w:sz="4" w:space="0" w:color="auto"/>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Отчетная информация</w:t>
            </w:r>
          </w:p>
        </w:tc>
      </w:tr>
      <w:tr w:rsidR="00AE20FC" w:rsidRPr="00B84CBC" w:rsidTr="00384172">
        <w:trPr>
          <w:trHeight w:val="204"/>
        </w:trPr>
        <w:tc>
          <w:tcPr>
            <w:tcW w:w="491" w:type="dxa"/>
            <w:vMerge/>
            <w:tcBorders>
              <w:top w:val="single" w:sz="4" w:space="0" w:color="auto"/>
              <w:left w:val="single" w:sz="4" w:space="0" w:color="auto"/>
              <w:bottom w:val="single" w:sz="4" w:space="0" w:color="auto"/>
              <w:right w:val="single" w:sz="4" w:space="0" w:color="auto"/>
            </w:tcBorders>
            <w:vAlign w:val="center"/>
          </w:tcPr>
          <w:p w:rsidR="00AE20FC" w:rsidRPr="00B84CBC" w:rsidRDefault="00AE20FC" w:rsidP="00B66BDD">
            <w:pPr>
              <w:keepNext/>
              <w:suppressLineNumbers/>
              <w:suppressAutoHyphens/>
              <w:contextualSpacing/>
              <w:rPr>
                <w:sz w:val="20"/>
                <w:szCs w:val="20"/>
              </w:rPr>
            </w:pPr>
          </w:p>
        </w:tc>
        <w:tc>
          <w:tcPr>
            <w:tcW w:w="3207" w:type="dxa"/>
            <w:vMerge/>
            <w:tcBorders>
              <w:top w:val="single" w:sz="4" w:space="0" w:color="auto"/>
              <w:left w:val="single" w:sz="4" w:space="0" w:color="auto"/>
              <w:bottom w:val="single" w:sz="4" w:space="0" w:color="auto"/>
              <w:right w:val="single" w:sz="4" w:space="0" w:color="auto"/>
            </w:tcBorders>
            <w:vAlign w:val="center"/>
          </w:tcPr>
          <w:p w:rsidR="00AE20FC" w:rsidRPr="00B84CBC" w:rsidRDefault="00AE20FC" w:rsidP="00B66BDD">
            <w:pPr>
              <w:keepNext/>
              <w:suppressLineNumbers/>
              <w:suppressAutoHyphens/>
              <w:contextualSpacing/>
              <w:rPr>
                <w:sz w:val="20"/>
                <w:szCs w:val="20"/>
              </w:rPr>
            </w:pPr>
          </w:p>
        </w:tc>
        <w:tc>
          <w:tcPr>
            <w:tcW w:w="833" w:type="dxa"/>
            <w:vMerge/>
            <w:tcBorders>
              <w:top w:val="single" w:sz="4" w:space="0" w:color="auto"/>
              <w:left w:val="single" w:sz="4" w:space="0" w:color="auto"/>
              <w:bottom w:val="single" w:sz="4" w:space="0" w:color="auto"/>
              <w:right w:val="single" w:sz="4" w:space="0" w:color="auto"/>
            </w:tcBorders>
            <w:vAlign w:val="center"/>
          </w:tcPr>
          <w:p w:rsidR="00AE20FC" w:rsidRPr="00B84CBC" w:rsidRDefault="00AE20FC" w:rsidP="00B66BDD">
            <w:pPr>
              <w:keepNext/>
              <w:suppressLineNumbers/>
              <w:suppressAutoHyphens/>
              <w:contextualSpacing/>
              <w:rPr>
                <w:sz w:val="20"/>
                <w:szCs w:val="20"/>
              </w:rPr>
            </w:pPr>
          </w:p>
        </w:tc>
        <w:tc>
          <w:tcPr>
            <w:tcW w:w="854"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2017</w:t>
            </w:r>
          </w:p>
        </w:tc>
        <w:tc>
          <w:tcPr>
            <w:tcW w:w="867"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2018</w:t>
            </w:r>
          </w:p>
        </w:tc>
        <w:tc>
          <w:tcPr>
            <w:tcW w:w="994"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2019</w:t>
            </w:r>
          </w:p>
        </w:tc>
        <w:tc>
          <w:tcPr>
            <w:tcW w:w="854"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2020</w:t>
            </w:r>
          </w:p>
        </w:tc>
        <w:tc>
          <w:tcPr>
            <w:tcW w:w="882"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2021</w:t>
            </w:r>
          </w:p>
        </w:tc>
        <w:tc>
          <w:tcPr>
            <w:tcW w:w="812" w:type="dxa"/>
            <w:tcBorders>
              <w:top w:val="nil"/>
              <w:left w:val="nil"/>
              <w:bottom w:val="single" w:sz="4" w:space="0" w:color="auto"/>
              <w:right w:val="single" w:sz="4" w:space="0" w:color="auto"/>
            </w:tcBorders>
            <w:shd w:val="clear" w:color="auto" w:fill="auto"/>
            <w:noWrap/>
          </w:tcPr>
          <w:p w:rsidR="00AE20FC" w:rsidRPr="00B84CBC" w:rsidRDefault="00AE20FC" w:rsidP="00B66BDD">
            <w:pPr>
              <w:keepNext/>
              <w:suppressLineNumbers/>
              <w:suppressAutoHyphens/>
              <w:contextualSpacing/>
              <w:jc w:val="center"/>
              <w:rPr>
                <w:sz w:val="20"/>
                <w:szCs w:val="20"/>
              </w:rPr>
            </w:pPr>
            <w:r w:rsidRPr="00B84CBC">
              <w:rPr>
                <w:sz w:val="20"/>
                <w:szCs w:val="20"/>
              </w:rPr>
              <w:t>2022</w:t>
            </w:r>
          </w:p>
        </w:tc>
      </w:tr>
      <w:tr w:rsidR="00AE20FC" w:rsidRPr="00B84CBC" w:rsidTr="00384172">
        <w:trPr>
          <w:trHeight w:val="58"/>
        </w:trPr>
        <w:tc>
          <w:tcPr>
            <w:tcW w:w="491" w:type="dxa"/>
            <w:tcBorders>
              <w:top w:val="nil"/>
              <w:left w:val="single" w:sz="4" w:space="0" w:color="auto"/>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contextualSpacing/>
              <w:jc w:val="center"/>
              <w:rPr>
                <w:sz w:val="20"/>
                <w:szCs w:val="20"/>
              </w:rPr>
            </w:pPr>
            <w:r w:rsidRPr="00B84CBC">
              <w:rPr>
                <w:sz w:val="20"/>
                <w:szCs w:val="20"/>
              </w:rPr>
              <w:t>33.</w:t>
            </w:r>
          </w:p>
        </w:tc>
        <w:tc>
          <w:tcPr>
            <w:tcW w:w="3207" w:type="dxa"/>
            <w:tcBorders>
              <w:top w:val="nil"/>
              <w:left w:val="nil"/>
              <w:bottom w:val="single" w:sz="4" w:space="0" w:color="auto"/>
              <w:right w:val="single" w:sz="4" w:space="0" w:color="auto"/>
            </w:tcBorders>
            <w:shd w:val="clear" w:color="auto" w:fill="auto"/>
            <w:vAlign w:val="center"/>
          </w:tcPr>
          <w:p w:rsidR="00AE20FC" w:rsidRPr="00B84CBC" w:rsidRDefault="00AE20FC" w:rsidP="00B66BDD">
            <w:pPr>
              <w:keepNext/>
              <w:suppressLineNumbers/>
              <w:suppressAutoHyphens/>
              <w:autoSpaceDE w:val="0"/>
              <w:autoSpaceDN w:val="0"/>
              <w:adjustRightInd w:val="0"/>
              <w:contextualSpacing/>
              <w:rPr>
                <w:sz w:val="20"/>
                <w:szCs w:val="20"/>
              </w:rPr>
            </w:pPr>
            <w:r w:rsidRPr="00B84CBC">
              <w:rPr>
                <w:sz w:val="20"/>
                <w:szCs w:val="20"/>
              </w:rPr>
              <w:t>Объем не завершенного в установленные сроки строительства, осуществляемого за счет средств бюджета городского округа</w:t>
            </w:r>
          </w:p>
        </w:tc>
        <w:tc>
          <w:tcPr>
            <w:tcW w:w="833"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26" w:right="-91"/>
              <w:contextualSpacing/>
              <w:jc w:val="center"/>
              <w:rPr>
                <w:sz w:val="20"/>
                <w:szCs w:val="20"/>
              </w:rPr>
            </w:pPr>
            <w:r w:rsidRPr="00B84CBC">
              <w:rPr>
                <w:sz w:val="20"/>
                <w:szCs w:val="20"/>
              </w:rPr>
              <w:t>тыс. руб.</w:t>
            </w:r>
          </w:p>
        </w:tc>
        <w:tc>
          <w:tcPr>
            <w:tcW w:w="854"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38" w:right="-78"/>
              <w:contextualSpacing/>
              <w:jc w:val="right"/>
              <w:rPr>
                <w:sz w:val="20"/>
                <w:szCs w:val="20"/>
              </w:rPr>
            </w:pPr>
            <w:r w:rsidRPr="00B84CBC">
              <w:rPr>
                <w:sz w:val="20"/>
                <w:szCs w:val="20"/>
              </w:rPr>
              <w:t>22 397,8</w:t>
            </w:r>
          </w:p>
        </w:tc>
        <w:tc>
          <w:tcPr>
            <w:tcW w:w="867"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08" w:right="-78"/>
              <w:contextualSpacing/>
              <w:jc w:val="right"/>
              <w:rPr>
                <w:sz w:val="20"/>
                <w:szCs w:val="20"/>
              </w:rPr>
            </w:pPr>
            <w:r w:rsidRPr="00B84CBC">
              <w:rPr>
                <w:sz w:val="20"/>
                <w:szCs w:val="20"/>
              </w:rPr>
              <w:t>14 283,2</w:t>
            </w:r>
          </w:p>
        </w:tc>
        <w:tc>
          <w:tcPr>
            <w:tcW w:w="994"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08" w:right="-78"/>
              <w:contextualSpacing/>
              <w:jc w:val="right"/>
              <w:rPr>
                <w:sz w:val="20"/>
                <w:szCs w:val="20"/>
              </w:rPr>
            </w:pPr>
            <w:r w:rsidRPr="00B84CBC">
              <w:rPr>
                <w:sz w:val="20"/>
                <w:szCs w:val="20"/>
              </w:rPr>
              <w:t>13 251,7</w:t>
            </w:r>
          </w:p>
        </w:tc>
        <w:tc>
          <w:tcPr>
            <w:tcW w:w="854"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08" w:right="-78"/>
              <w:contextualSpacing/>
              <w:jc w:val="right"/>
              <w:rPr>
                <w:sz w:val="20"/>
                <w:szCs w:val="20"/>
              </w:rPr>
            </w:pPr>
            <w:r w:rsidRPr="00B84CBC">
              <w:rPr>
                <w:sz w:val="20"/>
                <w:szCs w:val="20"/>
              </w:rPr>
              <w:t>11 138,9</w:t>
            </w:r>
          </w:p>
        </w:tc>
        <w:tc>
          <w:tcPr>
            <w:tcW w:w="882"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08" w:right="-78"/>
              <w:contextualSpacing/>
              <w:jc w:val="right"/>
              <w:rPr>
                <w:sz w:val="20"/>
                <w:szCs w:val="20"/>
              </w:rPr>
            </w:pPr>
            <w:r w:rsidRPr="00B84CBC">
              <w:rPr>
                <w:sz w:val="20"/>
                <w:szCs w:val="20"/>
              </w:rPr>
              <w:t>11 138,9</w:t>
            </w:r>
          </w:p>
        </w:tc>
        <w:tc>
          <w:tcPr>
            <w:tcW w:w="812" w:type="dxa"/>
            <w:tcBorders>
              <w:top w:val="nil"/>
              <w:left w:val="nil"/>
              <w:bottom w:val="single" w:sz="4" w:space="0" w:color="auto"/>
              <w:right w:val="single" w:sz="4" w:space="0" w:color="auto"/>
            </w:tcBorders>
            <w:shd w:val="clear" w:color="auto" w:fill="auto"/>
            <w:noWrap/>
            <w:vAlign w:val="center"/>
          </w:tcPr>
          <w:p w:rsidR="00AE20FC" w:rsidRPr="00B84CBC" w:rsidRDefault="00AE20FC" w:rsidP="00B66BDD">
            <w:pPr>
              <w:keepNext/>
              <w:suppressLineNumbers/>
              <w:suppressAutoHyphens/>
              <w:ind w:left="-108" w:right="-78"/>
              <w:contextualSpacing/>
              <w:jc w:val="right"/>
              <w:rPr>
                <w:sz w:val="20"/>
                <w:szCs w:val="20"/>
              </w:rPr>
            </w:pPr>
            <w:r w:rsidRPr="00B84CBC">
              <w:rPr>
                <w:sz w:val="20"/>
                <w:szCs w:val="20"/>
              </w:rPr>
              <w:t>11 138,9</w:t>
            </w:r>
          </w:p>
        </w:tc>
      </w:tr>
    </w:tbl>
    <w:p w:rsidR="00AE20FC" w:rsidRPr="00B84CBC" w:rsidRDefault="00AE20FC" w:rsidP="00B66BDD">
      <w:pPr>
        <w:keepNext/>
        <w:suppressLineNumbers/>
        <w:tabs>
          <w:tab w:val="left" w:pos="9360"/>
        </w:tabs>
        <w:suppressAutoHyphens/>
        <w:ind w:firstLine="426"/>
        <w:contextualSpacing/>
        <w:jc w:val="both"/>
      </w:pPr>
      <w:r w:rsidRPr="00B84CBC">
        <w:t>Объектами незавершенного в установленные сроки строительства на 01.01.2020 года являются:</w:t>
      </w:r>
    </w:p>
    <w:p w:rsidR="00AE20FC" w:rsidRPr="00B84CBC" w:rsidRDefault="00AE20FC" w:rsidP="00B66BDD">
      <w:pPr>
        <w:keepNext/>
        <w:suppressLineNumbers/>
        <w:suppressAutoHyphens/>
        <w:contextualSpacing/>
      </w:pPr>
      <w:r w:rsidRPr="00B84CBC">
        <w:t>- стадион с искусственным покрытием - 11 138,9 тыс.руб.;</w:t>
      </w:r>
    </w:p>
    <w:p w:rsidR="00AE20FC" w:rsidRPr="00B84CBC" w:rsidRDefault="00AE20FC" w:rsidP="00B66BDD">
      <w:pPr>
        <w:keepNext/>
        <w:suppressLineNumbers/>
        <w:suppressAutoHyphens/>
        <w:contextualSpacing/>
        <w:jc w:val="both"/>
      </w:pPr>
      <w:r w:rsidRPr="00B84CBC">
        <w:t xml:space="preserve">- детский игровой комплекс в Заводском </w:t>
      </w:r>
      <w:r w:rsidR="00D20CBE" w:rsidRPr="00B84CBC">
        <w:t>микрорайоне</w:t>
      </w:r>
      <w:r w:rsidRPr="00B84CBC">
        <w:t xml:space="preserve"> д.</w:t>
      </w:r>
      <w:r w:rsidR="00D20CBE" w:rsidRPr="00B84CBC">
        <w:t xml:space="preserve"> </w:t>
      </w:r>
      <w:r w:rsidRPr="00B84CBC">
        <w:t>1,2,3,4 - 2 112,8 тыс.руб.</w:t>
      </w:r>
    </w:p>
    <w:p w:rsidR="00AE20FC" w:rsidRPr="00B84CBC" w:rsidRDefault="00AE20FC" w:rsidP="00B66BDD">
      <w:pPr>
        <w:keepNext/>
        <w:suppressLineNumbers/>
        <w:suppressAutoHyphens/>
        <w:ind w:firstLine="567"/>
        <w:contextualSpacing/>
        <w:jc w:val="both"/>
      </w:pPr>
      <w:r w:rsidRPr="00B84CBC">
        <w:lastRenderedPageBreak/>
        <w:t xml:space="preserve">На 01.01.2021 года по данным Администрации муниципального образования город Саяногорск планируется незавершенное строительство по стадиону с искусственным покрытием (в связи с отсутствием финансовых средств) в сумме 11 138,9 тыс.руб. </w:t>
      </w:r>
    </w:p>
    <w:p w:rsidR="00BF18F6" w:rsidRPr="00B84CBC" w:rsidRDefault="00BF18F6" w:rsidP="00B66BDD">
      <w:pPr>
        <w:keepNext/>
        <w:suppressLineNumbers/>
        <w:suppressAutoHyphens/>
        <w:ind w:firstLine="567"/>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Показатель №34</w:t>
      </w:r>
      <w:r w:rsidRPr="00B84CBC">
        <w:rPr>
          <w:i/>
        </w:rPr>
        <w:t xml:space="preserve"> «Доля просроченной кредиторской задолженности по оплате труда (вкл</w:t>
      </w:r>
      <w:r w:rsidR="00351578" w:rsidRPr="00B84CBC">
        <w:rPr>
          <w:i/>
        </w:rPr>
        <w:t>ючая начисления на оплату труда</w:t>
      </w:r>
      <w:r w:rsidRPr="00B84CBC">
        <w:rPr>
          <w:i/>
        </w:rPr>
        <w:t xml:space="preserve">) муниципальных учреждений в общем объеме расходов муниципального образования на оплату труда». </w:t>
      </w:r>
    </w:p>
    <w:p w:rsidR="006039EB" w:rsidRPr="00B84CBC" w:rsidRDefault="00727CDF" w:rsidP="00B66BDD">
      <w:pPr>
        <w:pStyle w:val="af7"/>
        <w:keepNext/>
        <w:suppressLineNumbers/>
        <w:suppressAutoHyphens/>
        <w:ind w:firstLine="708"/>
        <w:contextualSpacing/>
        <w:jc w:val="both"/>
        <w:rPr>
          <w:rFonts w:ascii="Times New Roman" w:eastAsia="Times New Roman" w:hAnsi="Times New Roman"/>
          <w:sz w:val="24"/>
          <w:szCs w:val="24"/>
          <w:lang w:eastAsia="ru-RU"/>
        </w:rPr>
      </w:pPr>
      <w:r w:rsidRPr="00B84CBC">
        <w:rPr>
          <w:rFonts w:ascii="Times New Roman" w:eastAsia="Times New Roman" w:hAnsi="Times New Roman"/>
          <w:sz w:val="24"/>
          <w:szCs w:val="24"/>
          <w:lang w:eastAsia="ru-RU"/>
        </w:rPr>
        <w:t>Доля просроченной кредиторской задолженности по оплате труда (включая начисления на оплату труда) за 2019 год составила 8,31. Просроченная кредиторская задолженность сложилась только по начислениям на оплату труда за счет средств республиканского бюджета Республики Хакасия. Просроченная кредиторская задолженность по заработной плате на 01.01.2020 года отсутствовала.</w:t>
      </w:r>
    </w:p>
    <w:p w:rsidR="00BF18F6" w:rsidRPr="00B84CBC" w:rsidRDefault="00BF18F6" w:rsidP="00B66BDD">
      <w:pPr>
        <w:pStyle w:val="af7"/>
        <w:keepNext/>
        <w:suppressLineNumbers/>
        <w:suppressAutoHyphens/>
        <w:ind w:firstLine="708"/>
        <w:contextualSpacing/>
        <w:jc w:val="both"/>
        <w:rPr>
          <w:rFonts w:ascii="Times New Roman" w:eastAsia="Times New Roman" w:hAnsi="Times New Roman"/>
          <w:sz w:val="10"/>
          <w:szCs w:val="10"/>
          <w:lang w:eastAsia="ru-RU"/>
        </w:rPr>
      </w:pPr>
    </w:p>
    <w:p w:rsidR="006039EB" w:rsidRPr="00B84CBC" w:rsidRDefault="006039EB" w:rsidP="00B66BDD">
      <w:pPr>
        <w:pStyle w:val="af7"/>
        <w:keepNext/>
        <w:suppressLineNumbers/>
        <w:suppressAutoHyphens/>
        <w:contextualSpacing/>
        <w:jc w:val="both"/>
        <w:rPr>
          <w:rFonts w:ascii="Times New Roman" w:eastAsia="Times New Roman" w:hAnsi="Times New Roman"/>
          <w:i/>
          <w:sz w:val="24"/>
          <w:szCs w:val="24"/>
          <w:lang w:eastAsia="ru-RU"/>
        </w:rPr>
      </w:pPr>
      <w:r w:rsidRPr="00B84CBC">
        <w:rPr>
          <w:rFonts w:ascii="Times New Roman" w:eastAsia="Times New Roman" w:hAnsi="Times New Roman"/>
          <w:b/>
          <w:sz w:val="24"/>
          <w:szCs w:val="24"/>
          <w:lang w:eastAsia="ru-RU"/>
        </w:rPr>
        <w:t>Показатель №35</w:t>
      </w:r>
      <w:r w:rsidRPr="00B84CBC">
        <w:rPr>
          <w:rFonts w:ascii="Times New Roman" w:hAnsi="Times New Roman"/>
          <w:sz w:val="24"/>
          <w:szCs w:val="24"/>
        </w:rPr>
        <w:t xml:space="preserve"> </w:t>
      </w:r>
      <w:r w:rsidRPr="00B84CBC">
        <w:rPr>
          <w:rFonts w:ascii="Times New Roman" w:eastAsia="Times New Roman" w:hAnsi="Times New Roman"/>
          <w:i/>
          <w:sz w:val="24"/>
          <w:szCs w:val="24"/>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EF06F9" w:rsidRPr="00B84CBC" w:rsidRDefault="00D45369" w:rsidP="00B66BDD">
      <w:pPr>
        <w:keepNext/>
        <w:suppressLineNumbers/>
        <w:tabs>
          <w:tab w:val="left" w:pos="567"/>
        </w:tabs>
        <w:suppressAutoHyphens/>
        <w:autoSpaceDE w:val="0"/>
        <w:autoSpaceDN w:val="0"/>
        <w:adjustRightInd w:val="0"/>
        <w:contextualSpacing/>
        <w:jc w:val="both"/>
      </w:pPr>
      <w:r w:rsidRPr="00B84CBC">
        <w:tab/>
      </w:r>
      <w:r w:rsidR="00EF06F9" w:rsidRPr="00B84CBC">
        <w:t>Указаны данные о расходах на оплату труда и начисления на выплаты по оплате труда (КОСГУ – 211,</w:t>
      </w:r>
      <w:r w:rsidR="00384172" w:rsidRPr="00B84CBC">
        <w:t xml:space="preserve"> </w:t>
      </w:r>
      <w:r w:rsidR="00EF06F9" w:rsidRPr="00B84CBC">
        <w:t xml:space="preserve">213) работников органов местного самоуправления городского округа по разделам 0102, 0103, 0104, 0106 и 0113 согласно инструкции к форме </w:t>
      </w:r>
      <w:r w:rsidR="00384172" w:rsidRPr="00B84CBC">
        <w:t xml:space="preserve">№ </w:t>
      </w:r>
      <w:r w:rsidR="00EF06F9" w:rsidRPr="00B84CBC">
        <w:t>1-МБ «Сведения об исполнении бюджета муниципального образования (местного бюджета)»</w:t>
      </w:r>
    </w:p>
    <w:p w:rsidR="00EF06F9" w:rsidRPr="00B84CBC" w:rsidRDefault="00EF06F9" w:rsidP="00B66BDD">
      <w:pPr>
        <w:keepNext/>
        <w:suppressLineNumbers/>
        <w:tabs>
          <w:tab w:val="left" w:pos="567"/>
        </w:tabs>
        <w:suppressAutoHyphens/>
        <w:autoSpaceDE w:val="0"/>
        <w:autoSpaceDN w:val="0"/>
        <w:adjustRightInd w:val="0"/>
        <w:contextualSpacing/>
        <w:jc w:val="both"/>
      </w:pPr>
      <w:r w:rsidRPr="00B84CBC">
        <w:tab/>
        <w:t xml:space="preserve">Объемы расходов бюджета </w:t>
      </w:r>
      <w:r w:rsidR="00384172" w:rsidRPr="00B84CBC">
        <w:t xml:space="preserve">МО г.Саяногорск </w:t>
      </w:r>
      <w:r w:rsidRPr="00B84CBC">
        <w:t>за 2017-2019</w:t>
      </w:r>
      <w:r w:rsidR="00384172" w:rsidRPr="00B84CBC">
        <w:t xml:space="preserve"> годы </w:t>
      </w:r>
      <w:r w:rsidRPr="00B84CBC">
        <w:t>– отчетные данные,</w:t>
      </w:r>
      <w:r w:rsidR="00DE6F51" w:rsidRPr="00B84CBC">
        <w:t xml:space="preserve"> на </w:t>
      </w:r>
      <w:r w:rsidRPr="00B84CBC">
        <w:t xml:space="preserve">2020-2022 </w:t>
      </w:r>
      <w:r w:rsidR="00384172" w:rsidRPr="00B84CBC">
        <w:t>годы р</w:t>
      </w:r>
      <w:r w:rsidRPr="00B84CBC">
        <w:t>ассчитаны в соответствии с утвержденным планом (решение Совета депутатов муниципального образования г.Саяногорск от 24.12.2019</w:t>
      </w:r>
      <w:r w:rsidR="00384172" w:rsidRPr="00B84CBC">
        <w:t xml:space="preserve"> №199</w:t>
      </w:r>
      <w:r w:rsidRPr="00B84CBC">
        <w:t xml:space="preserve">). </w:t>
      </w:r>
    </w:p>
    <w:p w:rsidR="00EF06F9" w:rsidRPr="00B84CBC" w:rsidRDefault="00EF06F9" w:rsidP="00B66BDD">
      <w:pPr>
        <w:keepNext/>
        <w:suppressLineNumbers/>
        <w:tabs>
          <w:tab w:val="left" w:pos="567"/>
        </w:tabs>
        <w:suppressAutoHyphens/>
        <w:autoSpaceDE w:val="0"/>
        <w:autoSpaceDN w:val="0"/>
        <w:adjustRightInd w:val="0"/>
        <w:contextualSpacing/>
        <w:jc w:val="both"/>
      </w:pPr>
      <w:r w:rsidRPr="00B84CBC">
        <w:tab/>
        <w:t>Расходы 2018 года выше уровня 2017</w:t>
      </w:r>
      <w:r w:rsidR="00DE6F51" w:rsidRPr="00B84CBC">
        <w:t xml:space="preserve"> года</w:t>
      </w:r>
      <w:r w:rsidRPr="00B84CBC">
        <w:t xml:space="preserve"> в связи с полной оплатой кредиторской задолженности прошлых лет по начислениям на выплаты по оплате труда, а также в связи с увеличением с 01 июля 2018 размеров должностных окладов работников органов местного самоуправления. Кроме того, рост расходов на содержание работников органов местного самоуправления в расчете на одного жителя связан с ежегодным снижением среднегодовой численности жителей </w:t>
      </w:r>
      <w:r w:rsidR="00DE6F51" w:rsidRPr="00B84CBC">
        <w:t>МО г.Саяногорск</w:t>
      </w:r>
      <w:r w:rsidRPr="00B84CBC">
        <w:t xml:space="preserve">. </w:t>
      </w:r>
    </w:p>
    <w:p w:rsidR="00EF06F9" w:rsidRPr="00B84CBC" w:rsidRDefault="00EF06F9" w:rsidP="00B66BDD">
      <w:pPr>
        <w:keepNext/>
        <w:suppressLineNumbers/>
        <w:tabs>
          <w:tab w:val="left" w:pos="540"/>
        </w:tabs>
        <w:suppressAutoHyphens/>
        <w:ind w:firstLine="567"/>
        <w:contextualSpacing/>
        <w:jc w:val="both"/>
      </w:pPr>
      <w:r w:rsidRPr="00B84CBC">
        <w:t xml:space="preserve">Расходы 2019 </w:t>
      </w:r>
      <w:r w:rsidR="00DE6F51" w:rsidRPr="00B84CBC">
        <w:t xml:space="preserve">года </w:t>
      </w:r>
      <w:r w:rsidRPr="00B84CBC">
        <w:t xml:space="preserve">ниже уровня расходов 2018 </w:t>
      </w:r>
      <w:r w:rsidR="00DE6F51" w:rsidRPr="00B84CBC">
        <w:t xml:space="preserve">года </w:t>
      </w:r>
      <w:r w:rsidRPr="00B84CBC">
        <w:t xml:space="preserve">в связи с тем, что в 2018 </w:t>
      </w:r>
      <w:r w:rsidR="00DE6F51" w:rsidRPr="00B84CBC">
        <w:t xml:space="preserve">году </w:t>
      </w:r>
      <w:r w:rsidRPr="00B84CBC">
        <w:t>производилась оплата кредиторской задолженности прошлых лет по начислениям на выплаты по оплате труда.</w:t>
      </w:r>
    </w:p>
    <w:p w:rsidR="00EF06F9" w:rsidRPr="00B84CBC" w:rsidRDefault="00EF06F9" w:rsidP="00B66BDD">
      <w:pPr>
        <w:keepNext/>
        <w:suppressLineNumbers/>
        <w:tabs>
          <w:tab w:val="left" w:pos="540"/>
        </w:tabs>
        <w:suppressAutoHyphens/>
        <w:ind w:firstLine="567"/>
        <w:contextualSpacing/>
        <w:jc w:val="both"/>
      </w:pPr>
      <w:r w:rsidRPr="00B84CBC">
        <w:t>Плановые расходы на 2020-2022 год</w:t>
      </w:r>
      <w:r w:rsidR="00DE6F51" w:rsidRPr="00B84CBC">
        <w:t>ы</w:t>
      </w:r>
      <w:r w:rsidRPr="00B84CBC">
        <w:t xml:space="preserve"> выше показателя за 2019</w:t>
      </w:r>
      <w:r w:rsidR="00DE6F51" w:rsidRPr="00B84CBC">
        <w:t xml:space="preserve"> год</w:t>
      </w:r>
      <w:r w:rsidRPr="00B84CBC">
        <w:t xml:space="preserve">, в связи с тем, что предусмотрено повышение заработной платы работников органов местного самоуправления с 01.01.2020 </w:t>
      </w:r>
      <w:r w:rsidR="00DE6F51" w:rsidRPr="00B84CBC">
        <w:t xml:space="preserve">- </w:t>
      </w:r>
      <w:r w:rsidRPr="00B84CBC">
        <w:t xml:space="preserve">на 4,3% и с 01.10.2020 </w:t>
      </w:r>
      <w:r w:rsidR="00DE6F51" w:rsidRPr="00B84CBC">
        <w:t xml:space="preserve">- </w:t>
      </w:r>
      <w:r w:rsidRPr="00B84CBC">
        <w:t xml:space="preserve">на 3%. При исполнении бюджета на 2020 </w:t>
      </w:r>
      <w:r w:rsidR="00DE6F51" w:rsidRPr="00B84CBC">
        <w:t xml:space="preserve">год </w:t>
      </w:r>
      <w:r w:rsidRPr="00B84CBC">
        <w:t>и плановый период 2021-2022 данные расходы могут быть скорректированы.</w:t>
      </w:r>
    </w:p>
    <w:p w:rsidR="00685FBF" w:rsidRPr="00B84CBC" w:rsidRDefault="00685FBF" w:rsidP="00B66BDD">
      <w:pPr>
        <w:keepNext/>
        <w:suppressLineNumbers/>
        <w:tabs>
          <w:tab w:val="left" w:pos="540"/>
        </w:tabs>
        <w:suppressAutoHyphens/>
        <w:ind w:firstLine="567"/>
        <w:contextualSpacing/>
        <w:jc w:val="both"/>
        <w:rPr>
          <w:sz w:val="10"/>
          <w:szCs w:val="10"/>
        </w:rPr>
      </w:pPr>
    </w:p>
    <w:p w:rsidR="00D21C68" w:rsidRPr="00B84CBC" w:rsidRDefault="009D4902" w:rsidP="00B66BDD">
      <w:pPr>
        <w:keepNext/>
        <w:suppressLineNumbers/>
        <w:suppressAutoHyphens/>
        <w:ind w:firstLine="720"/>
        <w:contextualSpacing/>
        <w:jc w:val="center"/>
        <w:rPr>
          <w:i/>
          <w:sz w:val="20"/>
          <w:szCs w:val="20"/>
        </w:rPr>
      </w:pPr>
      <w:r w:rsidRPr="00B84CBC">
        <w:rPr>
          <w:i/>
          <w:sz w:val="20"/>
          <w:szCs w:val="20"/>
        </w:rPr>
        <w:t xml:space="preserve">Таблица расчета показателя Расходы бюджета муниципального образования </w:t>
      </w:r>
    </w:p>
    <w:p w:rsidR="009D4902" w:rsidRPr="00B84CBC" w:rsidRDefault="009D4902" w:rsidP="00B66BDD">
      <w:pPr>
        <w:keepNext/>
        <w:suppressLineNumbers/>
        <w:suppressAutoHyphens/>
        <w:ind w:firstLine="720"/>
        <w:contextualSpacing/>
        <w:jc w:val="center"/>
        <w:rPr>
          <w:i/>
          <w:sz w:val="20"/>
          <w:szCs w:val="20"/>
        </w:rPr>
      </w:pPr>
      <w:r w:rsidRPr="00B84CBC">
        <w:rPr>
          <w:i/>
          <w:sz w:val="20"/>
          <w:szCs w:val="20"/>
        </w:rPr>
        <w:t>на содержание работников органов местного самоуправления в расчете на одного жителя муниципального образования</w:t>
      </w: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616"/>
        <w:gridCol w:w="839"/>
        <w:gridCol w:w="854"/>
        <w:gridCol w:w="809"/>
        <w:gridCol w:w="826"/>
        <w:gridCol w:w="798"/>
        <w:gridCol w:w="883"/>
      </w:tblGrid>
      <w:tr w:rsidR="009D4902" w:rsidRPr="00B84CBC" w:rsidTr="00DE6F51">
        <w:trPr>
          <w:trHeight w:val="58"/>
        </w:trPr>
        <w:tc>
          <w:tcPr>
            <w:tcW w:w="4111" w:type="dxa"/>
            <w:vMerge w:val="restart"/>
          </w:tcPr>
          <w:p w:rsidR="009D4902" w:rsidRPr="00B84CBC" w:rsidRDefault="009D4902" w:rsidP="00B66BDD">
            <w:pPr>
              <w:keepNext/>
              <w:suppressLineNumbers/>
              <w:suppressAutoHyphens/>
              <w:contextualSpacing/>
              <w:jc w:val="center"/>
              <w:rPr>
                <w:sz w:val="20"/>
                <w:szCs w:val="20"/>
              </w:rPr>
            </w:pPr>
            <w:r w:rsidRPr="00B84CBC">
              <w:rPr>
                <w:sz w:val="20"/>
                <w:szCs w:val="20"/>
              </w:rPr>
              <w:tab/>
              <w:t>Наименование показателя</w:t>
            </w:r>
          </w:p>
        </w:tc>
        <w:tc>
          <w:tcPr>
            <w:tcW w:w="616" w:type="dxa"/>
            <w:vMerge w:val="restart"/>
          </w:tcPr>
          <w:p w:rsidR="009D4902" w:rsidRPr="00B84CBC" w:rsidRDefault="009D4902" w:rsidP="00B66BDD">
            <w:pPr>
              <w:keepNext/>
              <w:suppressLineNumbers/>
              <w:suppressAutoHyphens/>
              <w:contextualSpacing/>
              <w:jc w:val="center"/>
              <w:rPr>
                <w:sz w:val="20"/>
                <w:szCs w:val="20"/>
              </w:rPr>
            </w:pPr>
            <w:r w:rsidRPr="00B84CBC">
              <w:rPr>
                <w:sz w:val="20"/>
                <w:szCs w:val="20"/>
              </w:rPr>
              <w:t>Ед.</w:t>
            </w:r>
          </w:p>
          <w:p w:rsidR="009D4902" w:rsidRPr="00B84CBC" w:rsidRDefault="009D4902" w:rsidP="00B66BDD">
            <w:pPr>
              <w:keepNext/>
              <w:suppressLineNumbers/>
              <w:suppressAutoHyphens/>
              <w:ind w:left="-108" w:right="-108"/>
              <w:contextualSpacing/>
              <w:jc w:val="center"/>
              <w:rPr>
                <w:sz w:val="20"/>
                <w:szCs w:val="20"/>
              </w:rPr>
            </w:pPr>
            <w:r w:rsidRPr="00B84CBC">
              <w:rPr>
                <w:sz w:val="20"/>
                <w:szCs w:val="20"/>
              </w:rPr>
              <w:t>изм.</w:t>
            </w:r>
          </w:p>
        </w:tc>
        <w:tc>
          <w:tcPr>
            <w:tcW w:w="5009" w:type="dxa"/>
            <w:gridSpan w:val="6"/>
          </w:tcPr>
          <w:p w:rsidR="009D4902" w:rsidRPr="00B84CBC" w:rsidRDefault="009D4902" w:rsidP="00B66BDD">
            <w:pPr>
              <w:keepNext/>
              <w:suppressLineNumbers/>
              <w:suppressAutoHyphens/>
              <w:contextualSpacing/>
              <w:jc w:val="center"/>
              <w:rPr>
                <w:sz w:val="20"/>
                <w:szCs w:val="20"/>
              </w:rPr>
            </w:pPr>
            <w:r w:rsidRPr="00B84CBC">
              <w:rPr>
                <w:sz w:val="20"/>
                <w:szCs w:val="20"/>
              </w:rPr>
              <w:t>Отчетная информация</w:t>
            </w:r>
          </w:p>
        </w:tc>
      </w:tr>
      <w:tr w:rsidR="009D4902" w:rsidRPr="00B84CBC" w:rsidTr="00DE6F51">
        <w:tc>
          <w:tcPr>
            <w:tcW w:w="4111" w:type="dxa"/>
            <w:vMerge/>
          </w:tcPr>
          <w:p w:rsidR="009D4902" w:rsidRPr="00B84CBC" w:rsidRDefault="009D4902" w:rsidP="00B66BDD">
            <w:pPr>
              <w:keepNext/>
              <w:suppressLineNumbers/>
              <w:suppressAutoHyphens/>
              <w:contextualSpacing/>
              <w:jc w:val="center"/>
              <w:rPr>
                <w:i/>
                <w:sz w:val="20"/>
                <w:szCs w:val="20"/>
              </w:rPr>
            </w:pPr>
          </w:p>
        </w:tc>
        <w:tc>
          <w:tcPr>
            <w:tcW w:w="616" w:type="dxa"/>
            <w:vMerge/>
          </w:tcPr>
          <w:p w:rsidR="009D4902" w:rsidRPr="00B84CBC" w:rsidRDefault="009D4902" w:rsidP="00B66BDD">
            <w:pPr>
              <w:keepNext/>
              <w:suppressLineNumbers/>
              <w:suppressAutoHyphens/>
              <w:contextualSpacing/>
              <w:jc w:val="center"/>
              <w:rPr>
                <w:i/>
                <w:sz w:val="20"/>
                <w:szCs w:val="20"/>
              </w:rPr>
            </w:pPr>
          </w:p>
        </w:tc>
        <w:tc>
          <w:tcPr>
            <w:tcW w:w="839"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2017</w:t>
            </w:r>
          </w:p>
        </w:tc>
        <w:tc>
          <w:tcPr>
            <w:tcW w:w="854"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2018</w:t>
            </w:r>
          </w:p>
        </w:tc>
        <w:tc>
          <w:tcPr>
            <w:tcW w:w="809"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2019</w:t>
            </w:r>
          </w:p>
        </w:tc>
        <w:tc>
          <w:tcPr>
            <w:tcW w:w="826"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2020</w:t>
            </w:r>
          </w:p>
        </w:tc>
        <w:tc>
          <w:tcPr>
            <w:tcW w:w="798"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2021</w:t>
            </w:r>
          </w:p>
        </w:tc>
        <w:tc>
          <w:tcPr>
            <w:tcW w:w="883" w:type="dxa"/>
          </w:tcPr>
          <w:p w:rsidR="009D4902" w:rsidRPr="00B84CBC" w:rsidRDefault="009D4902" w:rsidP="00B66BDD">
            <w:pPr>
              <w:keepNext/>
              <w:suppressLineNumbers/>
              <w:suppressAutoHyphens/>
              <w:ind w:left="-108" w:right="-123"/>
              <w:contextualSpacing/>
              <w:jc w:val="center"/>
              <w:rPr>
                <w:sz w:val="20"/>
                <w:szCs w:val="20"/>
              </w:rPr>
            </w:pPr>
            <w:r w:rsidRPr="00B84CBC">
              <w:rPr>
                <w:sz w:val="20"/>
                <w:szCs w:val="20"/>
              </w:rPr>
              <w:t>2022</w:t>
            </w:r>
          </w:p>
        </w:tc>
      </w:tr>
      <w:tr w:rsidR="009D4902" w:rsidRPr="00B84CBC" w:rsidTr="00DE6F51">
        <w:trPr>
          <w:trHeight w:val="58"/>
        </w:trPr>
        <w:tc>
          <w:tcPr>
            <w:tcW w:w="4111" w:type="dxa"/>
          </w:tcPr>
          <w:p w:rsidR="009D4902" w:rsidRPr="00B84CBC" w:rsidRDefault="009D4902" w:rsidP="00DE6F51">
            <w:pPr>
              <w:keepNext/>
              <w:suppressLineNumbers/>
              <w:suppressAutoHyphens/>
              <w:contextualSpacing/>
              <w:rPr>
                <w:sz w:val="22"/>
                <w:szCs w:val="22"/>
              </w:rPr>
            </w:pPr>
            <w:r w:rsidRPr="00B84CBC">
              <w:rPr>
                <w:sz w:val="22"/>
                <w:szCs w:val="22"/>
              </w:rPr>
              <w:t xml:space="preserve">Расходы бюджета муниципального образования на содержание работников органов местного самоуправления </w:t>
            </w:r>
          </w:p>
        </w:tc>
        <w:tc>
          <w:tcPr>
            <w:tcW w:w="616" w:type="dxa"/>
            <w:vAlign w:val="center"/>
          </w:tcPr>
          <w:p w:rsidR="009D4902" w:rsidRPr="00B84CBC" w:rsidRDefault="009D4902" w:rsidP="00B66BDD">
            <w:pPr>
              <w:keepNext/>
              <w:suppressLineNumbers/>
              <w:suppressAutoHyphens/>
              <w:ind w:left="23" w:hanging="23"/>
              <w:contextualSpacing/>
              <w:jc w:val="center"/>
              <w:rPr>
                <w:sz w:val="22"/>
                <w:szCs w:val="22"/>
              </w:rPr>
            </w:pPr>
            <w:r w:rsidRPr="00B84CBC">
              <w:rPr>
                <w:sz w:val="22"/>
                <w:szCs w:val="22"/>
              </w:rPr>
              <w:t>тыс.</w:t>
            </w:r>
          </w:p>
          <w:p w:rsidR="009D4902" w:rsidRPr="00B84CBC" w:rsidRDefault="009D4902" w:rsidP="00B66BDD">
            <w:pPr>
              <w:keepNext/>
              <w:suppressLineNumbers/>
              <w:suppressAutoHyphens/>
              <w:ind w:left="23" w:hanging="23"/>
              <w:contextualSpacing/>
              <w:jc w:val="center"/>
              <w:rPr>
                <w:sz w:val="22"/>
                <w:szCs w:val="22"/>
              </w:rPr>
            </w:pPr>
            <w:r w:rsidRPr="00B84CBC">
              <w:rPr>
                <w:sz w:val="22"/>
                <w:szCs w:val="22"/>
              </w:rPr>
              <w:t>руб.</w:t>
            </w:r>
          </w:p>
        </w:tc>
        <w:tc>
          <w:tcPr>
            <w:tcW w:w="83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57 974,7</w:t>
            </w:r>
          </w:p>
        </w:tc>
        <w:tc>
          <w:tcPr>
            <w:tcW w:w="854"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78 156,3</w:t>
            </w:r>
          </w:p>
        </w:tc>
        <w:tc>
          <w:tcPr>
            <w:tcW w:w="80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73 685,0</w:t>
            </w:r>
          </w:p>
        </w:tc>
        <w:tc>
          <w:tcPr>
            <w:tcW w:w="826"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81 554,8</w:t>
            </w:r>
          </w:p>
        </w:tc>
        <w:tc>
          <w:tcPr>
            <w:tcW w:w="798"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75 575,0</w:t>
            </w:r>
          </w:p>
        </w:tc>
        <w:tc>
          <w:tcPr>
            <w:tcW w:w="883"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78 129,4</w:t>
            </w:r>
          </w:p>
        </w:tc>
      </w:tr>
      <w:tr w:rsidR="009D4902" w:rsidRPr="00B84CBC" w:rsidTr="00DE6F51">
        <w:trPr>
          <w:trHeight w:val="58"/>
        </w:trPr>
        <w:tc>
          <w:tcPr>
            <w:tcW w:w="4111" w:type="dxa"/>
          </w:tcPr>
          <w:p w:rsidR="009D4902" w:rsidRPr="00B84CBC" w:rsidRDefault="009D4902" w:rsidP="00DE6F51">
            <w:pPr>
              <w:keepNext/>
              <w:suppressLineNumbers/>
              <w:suppressAutoHyphens/>
              <w:contextualSpacing/>
              <w:rPr>
                <w:sz w:val="22"/>
                <w:szCs w:val="22"/>
              </w:rPr>
            </w:pPr>
            <w:r w:rsidRPr="00B84CBC">
              <w:rPr>
                <w:sz w:val="22"/>
                <w:szCs w:val="22"/>
              </w:rPr>
              <w:t>Среднегодовая численность</w:t>
            </w:r>
          </w:p>
        </w:tc>
        <w:tc>
          <w:tcPr>
            <w:tcW w:w="616" w:type="dxa"/>
            <w:vAlign w:val="center"/>
          </w:tcPr>
          <w:p w:rsidR="009D4902" w:rsidRPr="00B84CBC" w:rsidRDefault="009D4902" w:rsidP="00B66BDD">
            <w:pPr>
              <w:keepNext/>
              <w:suppressLineNumbers/>
              <w:suppressAutoHyphens/>
              <w:ind w:left="-108" w:right="-108" w:hanging="24"/>
              <w:contextualSpacing/>
              <w:jc w:val="center"/>
              <w:rPr>
                <w:sz w:val="22"/>
                <w:szCs w:val="22"/>
              </w:rPr>
            </w:pPr>
            <w:r w:rsidRPr="00B84CBC">
              <w:rPr>
                <w:sz w:val="22"/>
                <w:szCs w:val="22"/>
              </w:rPr>
              <w:t>чел.</w:t>
            </w:r>
          </w:p>
        </w:tc>
        <w:tc>
          <w:tcPr>
            <w:tcW w:w="83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60 654</w:t>
            </w:r>
          </w:p>
        </w:tc>
        <w:tc>
          <w:tcPr>
            <w:tcW w:w="854"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59 971</w:t>
            </w:r>
          </w:p>
        </w:tc>
        <w:tc>
          <w:tcPr>
            <w:tcW w:w="80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59 189</w:t>
            </w:r>
          </w:p>
        </w:tc>
        <w:tc>
          <w:tcPr>
            <w:tcW w:w="826"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59 289</w:t>
            </w:r>
          </w:p>
        </w:tc>
        <w:tc>
          <w:tcPr>
            <w:tcW w:w="798"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59 060</w:t>
            </w:r>
          </w:p>
        </w:tc>
        <w:tc>
          <w:tcPr>
            <w:tcW w:w="883"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58 881</w:t>
            </w:r>
          </w:p>
        </w:tc>
      </w:tr>
      <w:tr w:rsidR="009D4902" w:rsidRPr="00B84CBC" w:rsidTr="00DE6F51">
        <w:trPr>
          <w:trHeight w:val="58"/>
        </w:trPr>
        <w:tc>
          <w:tcPr>
            <w:tcW w:w="4111" w:type="dxa"/>
          </w:tcPr>
          <w:p w:rsidR="009D4902" w:rsidRPr="00B84CBC" w:rsidRDefault="009D4902" w:rsidP="00DE6F51">
            <w:pPr>
              <w:keepNext/>
              <w:suppressLineNumbers/>
              <w:suppressAutoHyphens/>
              <w:contextualSpacing/>
              <w:rPr>
                <w:sz w:val="22"/>
                <w:szCs w:val="22"/>
              </w:rPr>
            </w:pPr>
            <w:r w:rsidRPr="00B84CBC">
              <w:rPr>
                <w:sz w:val="22"/>
                <w:szCs w:val="22"/>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616" w:type="dxa"/>
            <w:vAlign w:val="center"/>
          </w:tcPr>
          <w:p w:rsidR="009D4902" w:rsidRPr="00B84CBC" w:rsidRDefault="009D4902" w:rsidP="00B66BDD">
            <w:pPr>
              <w:keepNext/>
              <w:suppressLineNumbers/>
              <w:suppressAutoHyphens/>
              <w:ind w:left="-108" w:right="-108" w:hanging="24"/>
              <w:contextualSpacing/>
              <w:jc w:val="center"/>
              <w:rPr>
                <w:sz w:val="22"/>
                <w:szCs w:val="22"/>
              </w:rPr>
            </w:pPr>
            <w:r w:rsidRPr="00B84CBC">
              <w:rPr>
                <w:sz w:val="22"/>
                <w:szCs w:val="22"/>
              </w:rPr>
              <w:t>руб.</w:t>
            </w:r>
          </w:p>
        </w:tc>
        <w:tc>
          <w:tcPr>
            <w:tcW w:w="83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955,8</w:t>
            </w:r>
          </w:p>
        </w:tc>
        <w:tc>
          <w:tcPr>
            <w:tcW w:w="854"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1 303,2</w:t>
            </w:r>
          </w:p>
        </w:tc>
        <w:tc>
          <w:tcPr>
            <w:tcW w:w="809"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1 244,9</w:t>
            </w:r>
          </w:p>
        </w:tc>
        <w:tc>
          <w:tcPr>
            <w:tcW w:w="826"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1 375,5</w:t>
            </w:r>
          </w:p>
        </w:tc>
        <w:tc>
          <w:tcPr>
            <w:tcW w:w="798"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1 279,6</w:t>
            </w:r>
          </w:p>
        </w:tc>
        <w:tc>
          <w:tcPr>
            <w:tcW w:w="883" w:type="dxa"/>
            <w:vAlign w:val="center"/>
          </w:tcPr>
          <w:p w:rsidR="009D4902" w:rsidRPr="00B84CBC" w:rsidRDefault="009D4902" w:rsidP="00DE6F51">
            <w:pPr>
              <w:keepNext/>
              <w:suppressLineNumbers/>
              <w:suppressAutoHyphens/>
              <w:ind w:left="-108" w:right="-89"/>
              <w:contextualSpacing/>
              <w:jc w:val="center"/>
              <w:rPr>
                <w:sz w:val="22"/>
                <w:szCs w:val="22"/>
              </w:rPr>
            </w:pPr>
            <w:r w:rsidRPr="00B84CBC">
              <w:rPr>
                <w:sz w:val="22"/>
                <w:szCs w:val="22"/>
              </w:rPr>
              <w:t>1 326,9</w:t>
            </w:r>
          </w:p>
        </w:tc>
      </w:tr>
    </w:tbl>
    <w:p w:rsidR="00DE6F51" w:rsidRPr="00B84CBC" w:rsidRDefault="00DE6F51" w:rsidP="00B66BDD">
      <w:pPr>
        <w:keepNext/>
        <w:suppressLineNumbers/>
        <w:tabs>
          <w:tab w:val="left" w:pos="567"/>
        </w:tabs>
        <w:suppressAutoHyphens/>
        <w:autoSpaceDE w:val="0"/>
        <w:autoSpaceDN w:val="0"/>
        <w:adjustRightInd w:val="0"/>
        <w:contextualSpacing/>
        <w:jc w:val="both"/>
        <w:rPr>
          <w:b/>
          <w:sz w:val="10"/>
          <w:szCs w:val="10"/>
        </w:rPr>
      </w:pPr>
    </w:p>
    <w:p w:rsidR="006039EB" w:rsidRPr="00B84CBC" w:rsidRDefault="006039EB" w:rsidP="00B66BDD">
      <w:pPr>
        <w:keepNext/>
        <w:suppressLineNumbers/>
        <w:tabs>
          <w:tab w:val="left" w:pos="567"/>
        </w:tabs>
        <w:suppressAutoHyphens/>
        <w:autoSpaceDE w:val="0"/>
        <w:autoSpaceDN w:val="0"/>
        <w:adjustRightInd w:val="0"/>
        <w:contextualSpacing/>
        <w:jc w:val="both"/>
        <w:rPr>
          <w:i/>
        </w:rPr>
      </w:pPr>
      <w:r w:rsidRPr="00B84CBC">
        <w:rPr>
          <w:b/>
        </w:rPr>
        <w:t>Показатель №36</w:t>
      </w:r>
      <w:r w:rsidRPr="00B84CBC">
        <w:t xml:space="preserve"> </w:t>
      </w:r>
      <w:r w:rsidRPr="00B84CBC">
        <w:rPr>
          <w:i/>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0D310B" w:rsidRPr="00B84CBC" w:rsidRDefault="00DB64B0" w:rsidP="00B66BDD">
      <w:pPr>
        <w:keepNext/>
        <w:suppressLineNumbers/>
        <w:suppressAutoHyphens/>
        <w:contextualSpacing/>
        <w:jc w:val="both"/>
        <w:rPr>
          <w:lang w:eastAsia="ar-SA"/>
        </w:rPr>
      </w:pPr>
      <w:r w:rsidRPr="00B84CBC">
        <w:rPr>
          <w:lang w:eastAsia="ar-SA"/>
        </w:rPr>
        <w:tab/>
      </w:r>
      <w:r w:rsidR="000D310B" w:rsidRPr="00B84CBC">
        <w:rPr>
          <w:lang w:eastAsia="ar-SA"/>
        </w:rPr>
        <w:t xml:space="preserve">Генеральные планы и правила землепользования и застройки населенных пунктов городского округа город Саяногорск утверждены и приняты Решением Саяногорского городского Совета депутатов от 22.12.2010 №110 «Об утверждении проекта «Корректировка Генерального плана муниципального образования город Саяногорск». При возникновении </w:t>
      </w:r>
      <w:r w:rsidR="000D310B" w:rsidRPr="00B84CBC">
        <w:rPr>
          <w:lang w:eastAsia="ar-SA"/>
        </w:rPr>
        <w:lastRenderedPageBreak/>
        <w:t>необходимости, в порядке, определенном действующим градостроительным законодательством ежегодно вносятся изменения в данные нормативно-правовые градостроительные акты.</w:t>
      </w:r>
    </w:p>
    <w:p w:rsidR="00E27C4B" w:rsidRPr="00B84CBC" w:rsidRDefault="00E27C4B" w:rsidP="00B66BDD">
      <w:pPr>
        <w:keepNext/>
        <w:suppressLineNumbers/>
        <w:suppressAutoHyphens/>
        <w:contextualSpacing/>
        <w:jc w:val="both"/>
        <w:rPr>
          <w:lang w:eastAsia="ar-SA"/>
        </w:rPr>
      </w:pPr>
      <w:r w:rsidRPr="00B84CBC">
        <w:rPr>
          <w:lang w:eastAsia="ar-SA"/>
        </w:rPr>
        <w:t xml:space="preserve">Значения данного показателя </w:t>
      </w:r>
      <w:r w:rsidR="000528F0" w:rsidRPr="00B84CBC">
        <w:rPr>
          <w:lang w:eastAsia="ar-SA"/>
        </w:rPr>
        <w:t>2019</w:t>
      </w:r>
      <w:r w:rsidR="00560CB6" w:rsidRPr="00B84CBC">
        <w:t xml:space="preserve"> год </w:t>
      </w:r>
      <w:r w:rsidRPr="00B84CBC">
        <w:rPr>
          <w:lang w:eastAsia="ar-SA"/>
        </w:rPr>
        <w:t xml:space="preserve">и на плановый период – 1 (да).  </w:t>
      </w:r>
    </w:p>
    <w:p w:rsidR="006039EB" w:rsidRPr="00B84CBC" w:rsidRDefault="006039EB" w:rsidP="00B66BDD">
      <w:pPr>
        <w:keepNext/>
        <w:suppressLineNumbers/>
        <w:suppressAutoHyphens/>
        <w:contextualSpacing/>
        <w:jc w:val="both"/>
        <w:rPr>
          <w:sz w:val="10"/>
          <w:szCs w:val="10"/>
          <w:lang w:eastAsia="ar-SA"/>
        </w:rPr>
      </w:pPr>
    </w:p>
    <w:p w:rsidR="006039EB" w:rsidRPr="00B84CBC" w:rsidRDefault="006039EB" w:rsidP="00B66BDD">
      <w:pPr>
        <w:keepNext/>
        <w:suppressLineNumbers/>
        <w:suppressAutoHyphens/>
        <w:contextualSpacing/>
        <w:jc w:val="both"/>
        <w:rPr>
          <w:i/>
        </w:rPr>
      </w:pPr>
      <w:r w:rsidRPr="00B84CBC">
        <w:rPr>
          <w:b/>
        </w:rPr>
        <w:t xml:space="preserve">Показатель №37 </w:t>
      </w:r>
      <w:r w:rsidRPr="00B84CBC">
        <w:rPr>
          <w:i/>
        </w:rPr>
        <w:t xml:space="preserve">«Удовлетворенность населения деятельностью органов местного самоуправления городского округа (муниципального района)». </w:t>
      </w:r>
    </w:p>
    <w:p w:rsidR="006039EB" w:rsidRPr="00B84CBC" w:rsidRDefault="009C36B8" w:rsidP="00B66BDD">
      <w:pPr>
        <w:keepNext/>
        <w:suppressLineNumbers/>
        <w:suppressAutoHyphens/>
        <w:ind w:firstLine="708"/>
        <w:contextualSpacing/>
        <w:jc w:val="both"/>
      </w:pPr>
      <w:r w:rsidRPr="00B84CBC">
        <w:t xml:space="preserve">Проведение социологических опросов по определению уровня удовлетворенности населения деятельностью органов местного самоуправления организуется </w:t>
      </w:r>
      <w:r w:rsidR="006039EB" w:rsidRPr="00B84CBC">
        <w:t>Министерством национальной и территориальной политики Республики Хакасия</w:t>
      </w:r>
      <w:r w:rsidR="002F607D" w:rsidRPr="00B84CBC">
        <w:t xml:space="preserve">, </w:t>
      </w:r>
      <w:r w:rsidR="00F91D6D" w:rsidRPr="00B84CBC">
        <w:t>результаты</w:t>
      </w:r>
      <w:r w:rsidR="007F777C" w:rsidRPr="00B84CBC">
        <w:t xml:space="preserve"> </w:t>
      </w:r>
      <w:r w:rsidR="00E27C4B" w:rsidRPr="00B84CBC">
        <w:t xml:space="preserve">МО г.Саяногорск </w:t>
      </w:r>
      <w:r w:rsidR="007F777C" w:rsidRPr="00B84CBC">
        <w:t>по итогам 201</w:t>
      </w:r>
      <w:r w:rsidR="00231790" w:rsidRPr="00B84CBC">
        <w:t>9</w:t>
      </w:r>
      <w:r w:rsidR="007F777C" w:rsidRPr="00B84CBC">
        <w:t xml:space="preserve"> </w:t>
      </w:r>
      <w:r w:rsidR="00DE6F51" w:rsidRPr="00B84CBC">
        <w:t xml:space="preserve">года составили 59,7%, </w:t>
      </w:r>
      <w:r w:rsidR="003A16CD" w:rsidRPr="00B84CBC">
        <w:t>увеличил</w:t>
      </w:r>
      <w:r w:rsidR="00DE6F51" w:rsidRPr="00B84CBC">
        <w:t>и</w:t>
      </w:r>
      <w:r w:rsidR="003A16CD" w:rsidRPr="00B84CBC">
        <w:t xml:space="preserve">сь на 22,1% </w:t>
      </w:r>
      <w:r w:rsidR="00DE6F51" w:rsidRPr="00B84CBC">
        <w:t>по сравнению с АППГ.</w:t>
      </w:r>
    </w:p>
    <w:p w:rsidR="003A16CD" w:rsidRPr="00B84CBC" w:rsidRDefault="003A16CD" w:rsidP="00B66BDD">
      <w:pPr>
        <w:keepNext/>
        <w:suppressLineNumbers/>
        <w:suppressAutoHyphens/>
        <w:ind w:firstLine="708"/>
        <w:contextualSpacing/>
        <w:jc w:val="both"/>
        <w:rPr>
          <w:i/>
          <w:sz w:val="10"/>
          <w:szCs w:val="10"/>
        </w:rPr>
      </w:pPr>
    </w:p>
    <w:p w:rsidR="00182854" w:rsidRPr="00B84CBC" w:rsidRDefault="00182854" w:rsidP="00B66BDD">
      <w:pPr>
        <w:keepNext/>
        <w:suppressLineNumbers/>
        <w:suppressAutoHyphens/>
        <w:contextualSpacing/>
        <w:jc w:val="both"/>
        <w:outlineLvl w:val="0"/>
        <w:rPr>
          <w:i/>
        </w:rPr>
      </w:pPr>
      <w:r w:rsidRPr="00B84CBC">
        <w:rPr>
          <w:b/>
        </w:rPr>
        <w:t>Показатель №38</w:t>
      </w:r>
      <w:r w:rsidRPr="00B84CBC">
        <w:t xml:space="preserve"> </w:t>
      </w:r>
      <w:r w:rsidRPr="00B84CBC">
        <w:rPr>
          <w:i/>
        </w:rPr>
        <w:t>«Среднегодовая численность постоянного населения»</w:t>
      </w:r>
    </w:p>
    <w:p w:rsidR="00A1631E" w:rsidRPr="00B84CBC" w:rsidRDefault="00A1631E" w:rsidP="00B66BDD">
      <w:pPr>
        <w:keepNext/>
        <w:suppressLineNumbers/>
        <w:suppressAutoHyphens/>
        <w:ind w:firstLine="709"/>
        <w:contextualSpacing/>
        <w:jc w:val="both"/>
        <w:rPr>
          <w:color w:val="000000"/>
        </w:rPr>
      </w:pPr>
      <w:r w:rsidRPr="00B84CBC">
        <w:rPr>
          <w:color w:val="000000"/>
          <w:lang w:eastAsia="zh-CN"/>
        </w:rPr>
        <w:t xml:space="preserve">Демография населения МО г.Саяногорск обусловлена </w:t>
      </w:r>
      <w:r w:rsidRPr="00B84CBC">
        <w:rPr>
          <w:color w:val="000000"/>
        </w:rPr>
        <w:t xml:space="preserve">уменьшением численности постоянного населения по причинам миграционного оттока населения и естественной убыли населения, общее уменьшение численности населения </w:t>
      </w:r>
      <w:r w:rsidR="00DE6F51" w:rsidRPr="00B84CBC">
        <w:rPr>
          <w:color w:val="000000"/>
        </w:rPr>
        <w:t xml:space="preserve">на начало 2020 года </w:t>
      </w:r>
      <w:r w:rsidRPr="00B84CBC">
        <w:rPr>
          <w:color w:val="000000"/>
        </w:rPr>
        <w:t xml:space="preserve">составило </w:t>
      </w:r>
      <w:r w:rsidR="00DE6F51" w:rsidRPr="00B84CBC">
        <w:rPr>
          <w:color w:val="000000"/>
        </w:rPr>
        <w:t xml:space="preserve">- </w:t>
      </w:r>
      <w:r w:rsidRPr="00B84CBC">
        <w:rPr>
          <w:color w:val="000000"/>
        </w:rPr>
        <w:t xml:space="preserve">904 чел.  </w:t>
      </w:r>
    </w:p>
    <w:p w:rsidR="00A1631E" w:rsidRPr="00B84CBC" w:rsidRDefault="00A1631E" w:rsidP="00B66BDD">
      <w:pPr>
        <w:keepNext/>
        <w:suppressLineNumbers/>
        <w:suppressAutoHyphens/>
        <w:ind w:firstLine="709"/>
        <w:contextualSpacing/>
        <w:jc w:val="both"/>
        <w:rPr>
          <w:color w:val="000000"/>
        </w:rPr>
      </w:pPr>
      <w:r w:rsidRPr="00B84CBC">
        <w:rPr>
          <w:color w:val="000000"/>
        </w:rPr>
        <w:t xml:space="preserve">Миграционный отток населения в 2019 году составил -690 чел., выбыло населения         -1 944 чел. (снижение на -211 чел. чем в прошлом году), прибыло населения </w:t>
      </w:r>
      <w:r w:rsidR="00DE6F51" w:rsidRPr="00B84CBC">
        <w:rPr>
          <w:color w:val="000000"/>
        </w:rPr>
        <w:t>+</w:t>
      </w:r>
      <w:r w:rsidRPr="00B84CBC">
        <w:rPr>
          <w:color w:val="000000"/>
        </w:rPr>
        <w:t xml:space="preserve">1 254 чел. (меньше на -337 чел. чем в прошлом году). </w:t>
      </w:r>
    </w:p>
    <w:p w:rsidR="00A1631E" w:rsidRPr="00B84CBC" w:rsidRDefault="00A1631E" w:rsidP="00B66BDD">
      <w:pPr>
        <w:keepNext/>
        <w:suppressLineNumbers/>
        <w:suppressAutoHyphens/>
        <w:ind w:firstLine="709"/>
        <w:contextualSpacing/>
        <w:jc w:val="both"/>
        <w:rPr>
          <w:color w:val="000000"/>
        </w:rPr>
      </w:pPr>
      <w:r w:rsidRPr="00B84CBC">
        <w:rPr>
          <w:color w:val="000000"/>
        </w:rPr>
        <w:t xml:space="preserve">Естественная убыль населения в 2019 году составила -214 чел., родилось </w:t>
      </w:r>
      <w:r w:rsidR="00DE6F51" w:rsidRPr="00B84CBC">
        <w:rPr>
          <w:color w:val="000000"/>
        </w:rPr>
        <w:t>+</w:t>
      </w:r>
      <w:r w:rsidRPr="00B84CBC">
        <w:rPr>
          <w:color w:val="000000"/>
        </w:rPr>
        <w:t xml:space="preserve">530 чел. (меньше на -112 чел. чем в прошлом году), умерло </w:t>
      </w:r>
      <w:r w:rsidR="00DE6F51" w:rsidRPr="00B84CBC">
        <w:rPr>
          <w:color w:val="000000"/>
        </w:rPr>
        <w:t>-</w:t>
      </w:r>
      <w:r w:rsidRPr="00B84CBC">
        <w:rPr>
          <w:color w:val="000000"/>
        </w:rPr>
        <w:t>744 чел. (меньше на -10 чел. чем в прошлом году).</w:t>
      </w:r>
    </w:p>
    <w:p w:rsidR="00A1631E" w:rsidRPr="00B84CBC" w:rsidRDefault="00A1631E" w:rsidP="00B66BDD">
      <w:pPr>
        <w:pStyle w:val="a9"/>
        <w:keepNext/>
        <w:suppressLineNumbers/>
        <w:shd w:val="clear" w:color="auto" w:fill="FFFFFF"/>
        <w:suppressAutoHyphens/>
        <w:spacing w:before="0" w:beforeAutospacing="0" w:after="0" w:afterAutospacing="0"/>
        <w:ind w:firstLine="708"/>
        <w:contextualSpacing/>
        <w:jc w:val="both"/>
        <w:rPr>
          <w:color w:val="000000"/>
        </w:rPr>
      </w:pPr>
      <w:r w:rsidRPr="00B84CBC">
        <w:rPr>
          <w:color w:val="000000"/>
        </w:rPr>
        <w:t xml:space="preserve">Значения показателя представлены по годам в таблице: </w:t>
      </w:r>
    </w:p>
    <w:tbl>
      <w:tblPr>
        <w:tblW w:w="9928" w:type="dxa"/>
        <w:tblInd w:w="103" w:type="dxa"/>
        <w:tblLook w:val="04A0"/>
      </w:tblPr>
      <w:tblGrid>
        <w:gridCol w:w="491"/>
        <w:gridCol w:w="2491"/>
        <w:gridCol w:w="992"/>
        <w:gridCol w:w="992"/>
        <w:gridCol w:w="993"/>
        <w:gridCol w:w="992"/>
        <w:gridCol w:w="992"/>
        <w:gridCol w:w="1134"/>
        <w:gridCol w:w="851"/>
      </w:tblGrid>
      <w:tr w:rsidR="00A1631E" w:rsidRPr="00B84CBC" w:rsidTr="00DE6F51">
        <w:trPr>
          <w:trHeight w:val="510"/>
        </w:trPr>
        <w:tc>
          <w:tcPr>
            <w:tcW w:w="491" w:type="dxa"/>
            <w:tcBorders>
              <w:top w:val="single" w:sz="4" w:space="0" w:color="auto"/>
              <w:left w:val="single" w:sz="4" w:space="0" w:color="auto"/>
              <w:bottom w:val="single" w:sz="4" w:space="0" w:color="auto"/>
              <w:right w:val="single" w:sz="4" w:space="0" w:color="auto"/>
            </w:tcBorders>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 пп</w:t>
            </w:r>
          </w:p>
        </w:tc>
        <w:tc>
          <w:tcPr>
            <w:tcW w:w="24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iCs/>
                <w:color w:val="000000"/>
                <w:sz w:val="20"/>
                <w:szCs w:val="20"/>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iCs/>
                <w:color w:val="000000"/>
                <w:sz w:val="20"/>
                <w:szCs w:val="20"/>
              </w:rPr>
              <w:t>Ед.изм.</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2017 г.</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2018 г.</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2019 г.</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2020 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2021 г.</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1631E" w:rsidRPr="00B84CBC" w:rsidRDefault="00A1631E" w:rsidP="00B66BDD">
            <w:pPr>
              <w:keepNext/>
              <w:suppressLineNumbers/>
              <w:suppressAutoHyphens/>
              <w:contextualSpacing/>
              <w:jc w:val="center"/>
              <w:rPr>
                <w:iCs/>
                <w:color w:val="000000"/>
                <w:sz w:val="20"/>
                <w:szCs w:val="20"/>
              </w:rPr>
            </w:pPr>
            <w:r w:rsidRPr="00B84CBC">
              <w:rPr>
                <w:iCs/>
                <w:color w:val="000000"/>
                <w:sz w:val="20"/>
                <w:szCs w:val="20"/>
              </w:rPr>
              <w:t>2022 г.</w:t>
            </w:r>
          </w:p>
        </w:tc>
      </w:tr>
      <w:tr w:rsidR="00A1631E" w:rsidRPr="00B84CBC" w:rsidTr="00DE6F51">
        <w:trPr>
          <w:trHeight w:val="510"/>
        </w:trPr>
        <w:tc>
          <w:tcPr>
            <w:tcW w:w="491" w:type="dxa"/>
            <w:tcBorders>
              <w:top w:val="nil"/>
              <w:left w:val="single" w:sz="4" w:space="0" w:color="auto"/>
              <w:bottom w:val="single" w:sz="4" w:space="0" w:color="auto"/>
              <w:right w:val="single" w:sz="4" w:space="0" w:color="auto"/>
            </w:tcBorders>
            <w:vAlign w:val="center"/>
          </w:tcPr>
          <w:p w:rsidR="00A1631E" w:rsidRPr="00B84CBC" w:rsidRDefault="00A1631E" w:rsidP="00B66BDD">
            <w:pPr>
              <w:keepNext/>
              <w:suppressLineNumbers/>
              <w:suppressAutoHyphens/>
              <w:contextualSpacing/>
              <w:rPr>
                <w:bCs/>
                <w:color w:val="000000"/>
                <w:sz w:val="20"/>
                <w:szCs w:val="20"/>
              </w:rPr>
            </w:pPr>
            <w:r w:rsidRPr="00B84CBC">
              <w:rPr>
                <w:bCs/>
                <w:color w:val="000000"/>
                <w:sz w:val="20"/>
                <w:szCs w:val="20"/>
              </w:rPr>
              <w:t>38.</w:t>
            </w:r>
          </w:p>
        </w:tc>
        <w:tc>
          <w:tcPr>
            <w:tcW w:w="2491" w:type="dxa"/>
            <w:tcBorders>
              <w:top w:val="nil"/>
              <w:left w:val="single" w:sz="4" w:space="0" w:color="auto"/>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rPr>
                <w:color w:val="000000"/>
                <w:sz w:val="20"/>
                <w:szCs w:val="20"/>
              </w:rPr>
            </w:pPr>
            <w:r w:rsidRPr="00B84CBC">
              <w:rPr>
                <w:color w:val="000000"/>
                <w:sz w:val="20"/>
                <w:szCs w:val="20"/>
              </w:rPr>
              <w:t>Среднегодовая численность постоянного населения</w:t>
            </w:r>
          </w:p>
        </w:tc>
        <w:tc>
          <w:tcPr>
            <w:tcW w:w="992"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тыс. человек</w:t>
            </w:r>
          </w:p>
        </w:tc>
        <w:tc>
          <w:tcPr>
            <w:tcW w:w="992"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60,</w:t>
            </w:r>
            <w:r w:rsidR="001947AE" w:rsidRPr="00B84CBC">
              <w:rPr>
                <w:color w:val="000000"/>
                <w:sz w:val="20"/>
                <w:szCs w:val="20"/>
              </w:rPr>
              <w:t>66</w:t>
            </w:r>
          </w:p>
        </w:tc>
        <w:tc>
          <w:tcPr>
            <w:tcW w:w="993" w:type="dxa"/>
            <w:tcBorders>
              <w:top w:val="nil"/>
              <w:left w:val="nil"/>
              <w:bottom w:val="single" w:sz="4" w:space="0" w:color="auto"/>
              <w:right w:val="single" w:sz="4" w:space="0" w:color="auto"/>
            </w:tcBorders>
            <w:shd w:val="clear" w:color="auto" w:fill="auto"/>
            <w:vAlign w:val="center"/>
            <w:hideMark/>
          </w:tcPr>
          <w:p w:rsidR="00A1631E" w:rsidRPr="00B84CBC" w:rsidRDefault="001947AE" w:rsidP="00B66BDD">
            <w:pPr>
              <w:keepNext/>
              <w:suppressLineNumbers/>
              <w:suppressAutoHyphens/>
              <w:contextualSpacing/>
              <w:jc w:val="center"/>
              <w:rPr>
                <w:color w:val="000000"/>
                <w:sz w:val="20"/>
                <w:szCs w:val="20"/>
              </w:rPr>
            </w:pPr>
            <w:r w:rsidRPr="00B84CBC">
              <w:rPr>
                <w:color w:val="000000"/>
                <w:sz w:val="20"/>
                <w:szCs w:val="20"/>
              </w:rPr>
              <w:t>59,98</w:t>
            </w:r>
          </w:p>
        </w:tc>
        <w:tc>
          <w:tcPr>
            <w:tcW w:w="992"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59,2</w:t>
            </w:r>
            <w:r w:rsidR="001947AE" w:rsidRPr="00B84CBC">
              <w:rPr>
                <w:color w:val="000000"/>
                <w:sz w:val="20"/>
                <w:szCs w:val="20"/>
              </w:rPr>
              <w:t>05</w:t>
            </w:r>
          </w:p>
        </w:tc>
        <w:tc>
          <w:tcPr>
            <w:tcW w:w="992"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58,6</w:t>
            </w:r>
            <w:r w:rsidR="001947AE" w:rsidRPr="00B84CBC">
              <w:rPr>
                <w:color w:val="000000"/>
                <w:sz w:val="20"/>
                <w:szCs w:val="20"/>
              </w:rPr>
              <w:t>39</w:t>
            </w:r>
          </w:p>
        </w:tc>
        <w:tc>
          <w:tcPr>
            <w:tcW w:w="1134"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58,</w:t>
            </w:r>
            <w:r w:rsidR="001947AE" w:rsidRPr="00B84CBC">
              <w:rPr>
                <w:color w:val="000000"/>
                <w:sz w:val="20"/>
                <w:szCs w:val="20"/>
              </w:rPr>
              <w:t>409</w:t>
            </w:r>
          </w:p>
        </w:tc>
        <w:tc>
          <w:tcPr>
            <w:tcW w:w="851" w:type="dxa"/>
            <w:tcBorders>
              <w:top w:val="nil"/>
              <w:left w:val="nil"/>
              <w:bottom w:val="single" w:sz="4" w:space="0" w:color="auto"/>
              <w:right w:val="single" w:sz="4" w:space="0" w:color="auto"/>
            </w:tcBorders>
            <w:shd w:val="clear" w:color="auto" w:fill="auto"/>
            <w:vAlign w:val="center"/>
            <w:hideMark/>
          </w:tcPr>
          <w:p w:rsidR="00A1631E" w:rsidRPr="00B84CBC" w:rsidRDefault="00A1631E" w:rsidP="00B66BDD">
            <w:pPr>
              <w:keepNext/>
              <w:suppressLineNumbers/>
              <w:suppressAutoHyphens/>
              <w:contextualSpacing/>
              <w:jc w:val="center"/>
              <w:rPr>
                <w:color w:val="000000"/>
                <w:sz w:val="20"/>
                <w:szCs w:val="20"/>
              </w:rPr>
            </w:pPr>
            <w:r w:rsidRPr="00B84CBC">
              <w:rPr>
                <w:color w:val="000000"/>
                <w:sz w:val="20"/>
                <w:szCs w:val="20"/>
              </w:rPr>
              <w:t>58,</w:t>
            </w:r>
            <w:r w:rsidR="001947AE" w:rsidRPr="00B84CBC">
              <w:rPr>
                <w:color w:val="000000"/>
                <w:sz w:val="20"/>
                <w:szCs w:val="20"/>
              </w:rPr>
              <w:t>230</w:t>
            </w:r>
          </w:p>
        </w:tc>
      </w:tr>
    </w:tbl>
    <w:p w:rsidR="00A1631E" w:rsidRPr="00B84CBC" w:rsidRDefault="00A1631E" w:rsidP="00B66BDD">
      <w:pPr>
        <w:keepNext/>
        <w:suppressLineNumbers/>
        <w:suppressAutoHyphens/>
        <w:ind w:firstLine="708"/>
        <w:contextualSpacing/>
        <w:jc w:val="both"/>
        <w:rPr>
          <w:color w:val="000000"/>
        </w:rPr>
      </w:pPr>
      <w:r w:rsidRPr="00B84CBC">
        <w:rPr>
          <w:color w:val="000000"/>
        </w:rPr>
        <w:t>Среднегодовая численность постоянного населения МО г.Саяногорск за 2019 год составила 59 205 чел. и в сравнении с прошлым годом снизилась на -774 чел. или на 1,3%.</w:t>
      </w:r>
    </w:p>
    <w:p w:rsidR="00A1631E" w:rsidRPr="00B84CBC" w:rsidRDefault="00A1631E" w:rsidP="00B66BDD">
      <w:pPr>
        <w:keepNext/>
        <w:suppressLineNumbers/>
        <w:suppressAutoHyphens/>
        <w:ind w:firstLine="709"/>
        <w:contextualSpacing/>
        <w:jc w:val="both"/>
        <w:rPr>
          <w:color w:val="000000"/>
        </w:rPr>
      </w:pPr>
      <w:r w:rsidRPr="00B84CBC">
        <w:rPr>
          <w:color w:val="000000"/>
        </w:rPr>
        <w:t>Стабилизация и положительная динамика демографии населения МО г.Саяногорск возможна только путем создания новых рабочих мест в результате реализации инвестиционных проектов и вводом в эксплуатацию объектов капитального строительства, новых производств на территории МО г.Саяногорск, а также создания комфортных условий проживания.</w:t>
      </w:r>
    </w:p>
    <w:p w:rsidR="008E6595" w:rsidRPr="00B84CBC" w:rsidRDefault="008E6595" w:rsidP="00B66BDD">
      <w:pPr>
        <w:pStyle w:val="a9"/>
        <w:keepNext/>
        <w:suppressLineNumbers/>
        <w:shd w:val="clear" w:color="auto" w:fill="FFFFFF"/>
        <w:suppressAutoHyphens/>
        <w:spacing w:before="0" w:beforeAutospacing="0" w:after="0" w:afterAutospacing="0"/>
        <w:contextualSpacing/>
        <w:jc w:val="both"/>
        <w:rPr>
          <w:sz w:val="10"/>
          <w:szCs w:val="10"/>
        </w:rPr>
      </w:pPr>
    </w:p>
    <w:p w:rsidR="006039EB" w:rsidRPr="00B84CBC" w:rsidRDefault="006039EB" w:rsidP="00B66BDD">
      <w:pPr>
        <w:keepNext/>
        <w:suppressLineNumbers/>
        <w:suppressAutoHyphens/>
        <w:contextualSpacing/>
        <w:jc w:val="both"/>
        <w:rPr>
          <w:i/>
        </w:rPr>
      </w:pPr>
      <w:r w:rsidRPr="00B84CBC">
        <w:rPr>
          <w:b/>
        </w:rPr>
        <w:t xml:space="preserve">Показатель №39 </w:t>
      </w:r>
      <w:r w:rsidRPr="00B84CBC">
        <w:rPr>
          <w:i/>
        </w:rPr>
        <w:t>«Удельная величина потребления энергетических ресурсов (электрическая и тепловая энергия, вода, природный газ) в многоквартирных домах</w:t>
      </w:r>
      <w:r w:rsidR="001D424B" w:rsidRPr="00B84CBC">
        <w:rPr>
          <w:i/>
        </w:rPr>
        <w:t>:</w:t>
      </w:r>
    </w:p>
    <w:p w:rsidR="00C20D3C" w:rsidRPr="00B84CBC" w:rsidRDefault="00AB4BC3" w:rsidP="00DE6F51">
      <w:pPr>
        <w:keepNext/>
        <w:suppressLineNumbers/>
        <w:suppressAutoHyphens/>
        <w:ind w:firstLine="709"/>
        <w:contextualSpacing/>
        <w:jc w:val="both"/>
      </w:pPr>
      <w:r w:rsidRPr="00B84CBC">
        <w:rPr>
          <w:i/>
          <w:u w:val="single"/>
          <w:lang w:eastAsia="zh-CN"/>
        </w:rPr>
        <w:t>-</w:t>
      </w:r>
      <w:r w:rsidR="00DE6F51" w:rsidRPr="00B84CBC">
        <w:rPr>
          <w:i/>
          <w:u w:val="single"/>
          <w:lang w:eastAsia="zh-CN"/>
        </w:rPr>
        <w:t xml:space="preserve"> </w:t>
      </w:r>
      <w:r w:rsidRPr="00B84CBC">
        <w:rPr>
          <w:i/>
          <w:u w:val="single"/>
          <w:lang w:eastAsia="zh-CN"/>
        </w:rPr>
        <w:t>о</w:t>
      </w:r>
      <w:r w:rsidR="00C20D3C" w:rsidRPr="00B84CBC">
        <w:rPr>
          <w:i/>
          <w:u w:val="single"/>
          <w:lang w:eastAsia="zh-CN"/>
        </w:rPr>
        <w:t>бъем потребления электрической энергии в МКД</w:t>
      </w:r>
      <w:r w:rsidR="00C20D3C" w:rsidRPr="00B84CBC">
        <w:t xml:space="preserve"> </w:t>
      </w:r>
      <w:r w:rsidR="00DE6F51" w:rsidRPr="00B84CBC">
        <w:t xml:space="preserve">МО г.Саяногорск </w:t>
      </w:r>
      <w:r w:rsidR="00C20D3C" w:rsidRPr="00B84CBC">
        <w:t xml:space="preserve">за 2019 составил 420,0 кВт/ч на 1 проживающего, что на 7,3% </w:t>
      </w:r>
      <w:r w:rsidR="003A20A3" w:rsidRPr="00B84CBC">
        <w:t>выше</w:t>
      </w:r>
      <w:r w:rsidR="00C20D3C" w:rsidRPr="00B84CBC">
        <w:t xml:space="preserve"> АППГ.</w:t>
      </w:r>
    </w:p>
    <w:p w:rsidR="00DE6F51" w:rsidRPr="00B84CBC" w:rsidRDefault="00C20D3C" w:rsidP="00DE6F51">
      <w:pPr>
        <w:keepNext/>
        <w:suppressLineNumbers/>
        <w:suppressAutoHyphens/>
        <w:ind w:firstLine="709"/>
        <w:contextualSpacing/>
        <w:jc w:val="both"/>
      </w:pPr>
      <w:r w:rsidRPr="00B84CBC">
        <w:t xml:space="preserve">При расчете показателя использовались данные Саяногорского межрайонного отделения АО «Хакасэнергосбыт». Объем потребления электрической энергии жилищного фонда напрямую зависит от собственников помещений и не подлежит регулированию. Рост потребления электрической энергии связан с увеличением у населения потребности в использовании электробытовых приборов. </w:t>
      </w:r>
    </w:p>
    <w:p w:rsidR="00DE6F51" w:rsidRPr="00B84CBC" w:rsidRDefault="00DE6F51" w:rsidP="00DE6F51">
      <w:pPr>
        <w:keepNext/>
        <w:suppressLineNumbers/>
        <w:suppressAutoHyphens/>
        <w:contextualSpacing/>
        <w:jc w:val="both"/>
      </w:pPr>
      <w:r w:rsidRPr="00B84CBC">
        <w:t xml:space="preserve">Рассчитывается: </w:t>
      </w:r>
      <w:r w:rsidR="00C20D3C" w:rsidRPr="00B84CBC">
        <w:t>объем потребления электрической энергии в многоквартирных домах (тыс. кВт.ч.) / на 1 проживающего (тыс. чел.)</w:t>
      </w:r>
    </w:p>
    <w:p w:rsidR="00C20D3C" w:rsidRPr="00B84CBC" w:rsidRDefault="00C20D3C" w:rsidP="00DE6F51">
      <w:pPr>
        <w:keepNext/>
        <w:suppressLineNumbers/>
        <w:suppressAutoHyphens/>
        <w:contextualSpacing/>
        <w:jc w:val="both"/>
      </w:pPr>
      <w:r w:rsidRPr="00B84CBC">
        <w:t>21 115,500 / 50,275</w:t>
      </w:r>
      <w:r w:rsidR="00DE6F51" w:rsidRPr="00B84CBC">
        <w:t xml:space="preserve"> </w:t>
      </w:r>
      <w:r w:rsidRPr="00B84CBC">
        <w:t>=</w:t>
      </w:r>
      <w:r w:rsidR="00DE6F51" w:rsidRPr="00B84CBC">
        <w:t xml:space="preserve"> </w:t>
      </w:r>
      <w:r w:rsidRPr="00B84CBC">
        <w:t xml:space="preserve">420,0 (кВт. ч. на 1 </w:t>
      </w:r>
      <w:r w:rsidR="00645EF4" w:rsidRPr="00B84CBC">
        <w:t>проживающего</w:t>
      </w:r>
      <w:r w:rsidRPr="00B84CBC">
        <w:t>).</w:t>
      </w:r>
    </w:p>
    <w:p w:rsidR="00DE6F51" w:rsidRPr="00B84CBC" w:rsidRDefault="00AB4BC3" w:rsidP="00DE6F51">
      <w:pPr>
        <w:keepNext/>
        <w:suppressLineNumbers/>
        <w:suppressAutoHyphens/>
        <w:ind w:firstLine="709"/>
        <w:contextualSpacing/>
        <w:jc w:val="both"/>
      </w:pPr>
      <w:r w:rsidRPr="00B84CBC">
        <w:rPr>
          <w:i/>
          <w:u w:val="single"/>
          <w:lang w:eastAsia="zh-CN"/>
        </w:rPr>
        <w:t>-</w:t>
      </w:r>
      <w:r w:rsidR="00DE6F51" w:rsidRPr="00B84CBC">
        <w:rPr>
          <w:i/>
          <w:u w:val="single"/>
          <w:lang w:eastAsia="zh-CN"/>
        </w:rPr>
        <w:t xml:space="preserve"> </w:t>
      </w:r>
      <w:r w:rsidRPr="00B84CBC">
        <w:rPr>
          <w:i/>
          <w:u w:val="single"/>
          <w:lang w:eastAsia="zh-CN"/>
        </w:rPr>
        <w:t>о</w:t>
      </w:r>
      <w:r w:rsidR="00C20D3C" w:rsidRPr="00B84CBC">
        <w:rPr>
          <w:i/>
          <w:u w:val="single"/>
          <w:lang w:eastAsia="zh-CN"/>
        </w:rPr>
        <w:t>бъем потребления тепловой энергии в МКД</w:t>
      </w:r>
      <w:r w:rsidR="00C20D3C" w:rsidRPr="00B84CBC">
        <w:t xml:space="preserve"> </w:t>
      </w:r>
      <w:r w:rsidR="00DE6F51" w:rsidRPr="00B84CBC">
        <w:t xml:space="preserve">МО г.Саяногорск </w:t>
      </w:r>
      <w:r w:rsidR="00C20D3C" w:rsidRPr="00B84CBC">
        <w:t xml:space="preserve">составил 0,217 </w:t>
      </w:r>
      <w:r w:rsidR="00DE6F51" w:rsidRPr="00B84CBC">
        <w:t>Г</w:t>
      </w:r>
      <w:r w:rsidR="00C20D3C" w:rsidRPr="00B84CBC">
        <w:t>кал/</w:t>
      </w:r>
      <w:r w:rsidR="00DE6F51" w:rsidRPr="00B84CBC">
        <w:t>кв.</w:t>
      </w:r>
      <w:r w:rsidR="00C20D3C" w:rsidRPr="00B84CBC">
        <w:t>м</w:t>
      </w:r>
      <w:r w:rsidR="0005545A" w:rsidRPr="00B84CBC">
        <w:t>,</w:t>
      </w:r>
      <w:r w:rsidR="00C20D3C" w:rsidRPr="00B84CBC">
        <w:t xml:space="preserve"> </w:t>
      </w:r>
      <w:r w:rsidR="0005545A" w:rsidRPr="00B84CBC">
        <w:t xml:space="preserve">что на 8,5% </w:t>
      </w:r>
      <w:r w:rsidR="003A20A3" w:rsidRPr="00B84CBC">
        <w:t>вы</w:t>
      </w:r>
      <w:r w:rsidR="0005545A" w:rsidRPr="00B84CBC">
        <w:t xml:space="preserve">ше АППГ. </w:t>
      </w:r>
    </w:p>
    <w:p w:rsidR="00C20D3C" w:rsidRPr="00B84CBC" w:rsidRDefault="00C20D3C" w:rsidP="00DE6F51">
      <w:pPr>
        <w:keepNext/>
        <w:suppressLineNumbers/>
        <w:suppressAutoHyphens/>
        <w:contextualSpacing/>
        <w:jc w:val="both"/>
      </w:pPr>
      <w:r w:rsidRPr="00B84CBC">
        <w:t>Объем потребленной теплоэнергии является объективным и основывается на данных общедомовы</w:t>
      </w:r>
      <w:r w:rsidR="002E09DD" w:rsidRPr="00B84CBC">
        <w:t>х приборах учета данного ресурс</w:t>
      </w:r>
      <w:r w:rsidR="00DE6F51" w:rsidRPr="00B84CBC">
        <w:t>а</w:t>
      </w:r>
      <w:r w:rsidRPr="00B84CBC">
        <w:t>.</w:t>
      </w:r>
    </w:p>
    <w:p w:rsidR="00DE6F51" w:rsidRPr="00B84CBC" w:rsidRDefault="00DE6F51" w:rsidP="00DE6F51">
      <w:pPr>
        <w:keepNext/>
        <w:suppressLineNumbers/>
        <w:suppressAutoHyphens/>
        <w:autoSpaceDE w:val="0"/>
        <w:autoSpaceDN w:val="0"/>
        <w:adjustRightInd w:val="0"/>
        <w:contextualSpacing/>
        <w:jc w:val="both"/>
      </w:pPr>
      <w:r w:rsidRPr="00B84CBC">
        <w:t>Рассчитывается</w:t>
      </w:r>
      <w:r w:rsidR="00C20D3C" w:rsidRPr="00B84CBC">
        <w:t>: объем потребления тепловой энергии</w:t>
      </w:r>
      <w:r w:rsidR="003A20A3" w:rsidRPr="00B84CBC">
        <w:t xml:space="preserve"> в многоквартирных домах (Гкал)</w:t>
      </w:r>
      <w:r w:rsidRPr="00B84CBC">
        <w:t xml:space="preserve"> </w:t>
      </w:r>
      <w:r w:rsidR="00C20D3C" w:rsidRPr="00B84CBC">
        <w:t>/</w:t>
      </w:r>
      <w:r w:rsidRPr="00B84CBC">
        <w:t xml:space="preserve"> </w:t>
      </w:r>
      <w:r w:rsidR="00C20D3C" w:rsidRPr="00B84CBC">
        <w:t>общая площадь многоквартирных домов (кв. метров)</w:t>
      </w:r>
      <w:r w:rsidR="003A20A3" w:rsidRPr="00B84CBC">
        <w:t xml:space="preserve"> </w:t>
      </w:r>
    </w:p>
    <w:p w:rsidR="00C20D3C" w:rsidRPr="00B84CBC" w:rsidRDefault="00C20D3C" w:rsidP="00DE6F51">
      <w:pPr>
        <w:keepNext/>
        <w:suppressLineNumbers/>
        <w:suppressAutoHyphens/>
        <w:autoSpaceDE w:val="0"/>
        <w:autoSpaceDN w:val="0"/>
        <w:adjustRightInd w:val="0"/>
        <w:contextualSpacing/>
        <w:jc w:val="both"/>
      </w:pPr>
      <w:r w:rsidRPr="00B84CBC">
        <w:t>271 281,95</w:t>
      </w:r>
      <w:r w:rsidR="00DE6F51" w:rsidRPr="00B84CBC">
        <w:t xml:space="preserve"> </w:t>
      </w:r>
      <w:r w:rsidRPr="00B84CBC">
        <w:t>/</w:t>
      </w:r>
      <w:r w:rsidR="00DE6F51" w:rsidRPr="00B84CBC">
        <w:t xml:space="preserve"> </w:t>
      </w:r>
      <w:r w:rsidRPr="00B84CBC">
        <w:t>1 248</w:t>
      </w:r>
      <w:r w:rsidR="00DE6F51" w:rsidRPr="00B84CBC">
        <w:t> </w:t>
      </w:r>
      <w:r w:rsidRPr="00B84CBC">
        <w:t>200</w:t>
      </w:r>
      <w:r w:rsidR="00DE6F51" w:rsidRPr="00B84CBC">
        <w:t xml:space="preserve"> </w:t>
      </w:r>
      <w:r w:rsidRPr="00B84CBC">
        <w:t>=</w:t>
      </w:r>
      <w:r w:rsidR="00DE6F51" w:rsidRPr="00B84CBC">
        <w:t xml:space="preserve"> </w:t>
      </w:r>
      <w:r w:rsidRPr="00B84CBC">
        <w:t>0,217 (Гкал на 1 кв. метр общей площади).</w:t>
      </w:r>
    </w:p>
    <w:p w:rsidR="00091534" w:rsidRPr="00B84CBC" w:rsidRDefault="00AB4BC3" w:rsidP="00DE6F51">
      <w:pPr>
        <w:pStyle w:val="210"/>
        <w:keepNext/>
        <w:suppressLineNumbers/>
        <w:ind w:firstLine="709"/>
        <w:contextualSpacing/>
        <w:rPr>
          <w:b w:val="0"/>
          <w:bCs w:val="0"/>
          <w:sz w:val="24"/>
          <w:lang w:eastAsia="ru-RU"/>
        </w:rPr>
      </w:pPr>
      <w:r w:rsidRPr="00B84CBC">
        <w:rPr>
          <w:b w:val="0"/>
          <w:bCs w:val="0"/>
          <w:i/>
          <w:sz w:val="24"/>
          <w:u w:val="single"/>
          <w:lang w:eastAsia="zh-CN"/>
        </w:rPr>
        <w:lastRenderedPageBreak/>
        <w:t>-</w:t>
      </w:r>
      <w:r w:rsidR="00DE6F51" w:rsidRPr="00B84CBC">
        <w:rPr>
          <w:b w:val="0"/>
          <w:bCs w:val="0"/>
          <w:i/>
          <w:sz w:val="24"/>
          <w:u w:val="single"/>
          <w:lang w:eastAsia="zh-CN"/>
        </w:rPr>
        <w:t xml:space="preserve"> </w:t>
      </w:r>
      <w:r w:rsidRPr="00B84CBC">
        <w:rPr>
          <w:b w:val="0"/>
          <w:bCs w:val="0"/>
          <w:i/>
          <w:sz w:val="24"/>
          <w:u w:val="single"/>
          <w:lang w:eastAsia="zh-CN"/>
        </w:rPr>
        <w:t>о</w:t>
      </w:r>
      <w:r w:rsidR="00C20D3C" w:rsidRPr="00B84CBC">
        <w:rPr>
          <w:b w:val="0"/>
          <w:bCs w:val="0"/>
          <w:i/>
          <w:sz w:val="24"/>
          <w:u w:val="single"/>
          <w:lang w:eastAsia="zh-CN"/>
        </w:rPr>
        <w:t>бъем потребления горячего водоснабжения в МКД</w:t>
      </w:r>
      <w:r w:rsidR="00C20D3C" w:rsidRPr="00B84CBC">
        <w:rPr>
          <w:b w:val="0"/>
          <w:bCs w:val="0"/>
          <w:sz w:val="24"/>
          <w:lang w:eastAsia="ru-RU"/>
        </w:rPr>
        <w:t xml:space="preserve"> </w:t>
      </w:r>
      <w:r w:rsidR="00DE6F51" w:rsidRPr="00B84CBC">
        <w:rPr>
          <w:b w:val="0"/>
          <w:bCs w:val="0"/>
          <w:sz w:val="24"/>
          <w:lang w:eastAsia="ru-RU"/>
        </w:rPr>
        <w:t xml:space="preserve">МО г.Саяногорск </w:t>
      </w:r>
      <w:r w:rsidR="00C20D3C" w:rsidRPr="00B84CBC">
        <w:rPr>
          <w:b w:val="0"/>
          <w:bCs w:val="0"/>
          <w:sz w:val="24"/>
          <w:lang w:eastAsia="ru-RU"/>
        </w:rPr>
        <w:t>составил 17,1 куб.м</w:t>
      </w:r>
      <w:r w:rsidR="00DE6F51" w:rsidRPr="00B84CBC">
        <w:rPr>
          <w:b w:val="0"/>
          <w:bCs w:val="0"/>
          <w:sz w:val="24"/>
          <w:lang w:eastAsia="ru-RU"/>
        </w:rPr>
        <w:t>етров</w:t>
      </w:r>
      <w:r w:rsidR="00C20D3C" w:rsidRPr="00B84CBC">
        <w:rPr>
          <w:b w:val="0"/>
          <w:bCs w:val="0"/>
          <w:sz w:val="24"/>
          <w:lang w:eastAsia="ru-RU"/>
        </w:rPr>
        <w:t xml:space="preserve"> на 1 проживающего</w:t>
      </w:r>
      <w:r w:rsidR="00DE6F51" w:rsidRPr="00B84CBC">
        <w:rPr>
          <w:b w:val="0"/>
          <w:bCs w:val="0"/>
          <w:sz w:val="24"/>
          <w:lang w:eastAsia="ru-RU"/>
        </w:rPr>
        <w:t xml:space="preserve">, </w:t>
      </w:r>
      <w:r w:rsidR="00C20D3C" w:rsidRPr="00B84CBC">
        <w:rPr>
          <w:b w:val="0"/>
          <w:bCs w:val="0"/>
          <w:sz w:val="24"/>
          <w:lang w:eastAsia="ru-RU"/>
        </w:rPr>
        <w:t>произошло увеличение объема потребления на 1,8%</w:t>
      </w:r>
      <w:r w:rsidR="00DE6F51" w:rsidRPr="00B84CBC">
        <w:rPr>
          <w:b w:val="0"/>
          <w:bCs w:val="0"/>
          <w:sz w:val="24"/>
          <w:lang w:eastAsia="ru-RU"/>
        </w:rPr>
        <w:t xml:space="preserve"> относительно 2018 года</w:t>
      </w:r>
      <w:r w:rsidR="00C20D3C" w:rsidRPr="00B84CBC">
        <w:rPr>
          <w:b w:val="0"/>
          <w:bCs w:val="0"/>
          <w:sz w:val="24"/>
          <w:lang w:eastAsia="ru-RU"/>
        </w:rPr>
        <w:t xml:space="preserve">. </w:t>
      </w:r>
    </w:p>
    <w:p w:rsidR="00C20D3C" w:rsidRPr="00B84CBC" w:rsidRDefault="00091534" w:rsidP="00DE6F51">
      <w:pPr>
        <w:pStyle w:val="210"/>
        <w:keepNext/>
        <w:suppressLineNumbers/>
        <w:ind w:firstLine="709"/>
        <w:contextualSpacing/>
        <w:rPr>
          <w:b w:val="0"/>
          <w:bCs w:val="0"/>
          <w:sz w:val="24"/>
          <w:lang w:eastAsia="ru-RU"/>
        </w:rPr>
      </w:pPr>
      <w:r w:rsidRPr="00B84CBC">
        <w:rPr>
          <w:b w:val="0"/>
          <w:bCs w:val="0"/>
          <w:i/>
          <w:sz w:val="24"/>
          <w:u w:val="single"/>
          <w:lang w:eastAsia="ru-RU"/>
        </w:rPr>
        <w:t>- о</w:t>
      </w:r>
      <w:r w:rsidR="00C20D3C" w:rsidRPr="00B84CBC">
        <w:rPr>
          <w:b w:val="0"/>
          <w:bCs w:val="0"/>
          <w:i/>
          <w:sz w:val="24"/>
          <w:u w:val="single"/>
          <w:lang w:eastAsia="ru-RU"/>
        </w:rPr>
        <w:t>бъем потребления холодного водоснабжения</w:t>
      </w:r>
      <w:r w:rsidR="00C20D3C" w:rsidRPr="00B84CBC">
        <w:rPr>
          <w:b w:val="0"/>
          <w:bCs w:val="0"/>
          <w:sz w:val="24"/>
          <w:lang w:eastAsia="ru-RU"/>
        </w:rPr>
        <w:t xml:space="preserve"> в МКД </w:t>
      </w:r>
      <w:r w:rsidRPr="00B84CBC">
        <w:rPr>
          <w:b w:val="0"/>
          <w:bCs w:val="0"/>
          <w:sz w:val="24"/>
          <w:lang w:eastAsia="ru-RU"/>
        </w:rPr>
        <w:t xml:space="preserve">МО г.Саяногорск </w:t>
      </w:r>
      <w:r w:rsidR="00C20D3C" w:rsidRPr="00B84CBC">
        <w:rPr>
          <w:b w:val="0"/>
          <w:bCs w:val="0"/>
          <w:sz w:val="24"/>
          <w:lang w:eastAsia="ru-RU"/>
        </w:rPr>
        <w:t>составил 38 куб. метров на 1 проживающего</w:t>
      </w:r>
      <w:r w:rsidR="003A20A3" w:rsidRPr="00B84CBC">
        <w:rPr>
          <w:b w:val="0"/>
          <w:bCs w:val="0"/>
          <w:sz w:val="24"/>
          <w:lang w:eastAsia="ru-RU"/>
        </w:rPr>
        <w:t>,</w:t>
      </w:r>
      <w:r w:rsidR="00C20D3C" w:rsidRPr="00B84CBC">
        <w:rPr>
          <w:b w:val="0"/>
          <w:bCs w:val="0"/>
          <w:sz w:val="24"/>
          <w:lang w:eastAsia="ru-RU"/>
        </w:rPr>
        <w:t xml:space="preserve"> </w:t>
      </w:r>
      <w:r w:rsidR="003A20A3" w:rsidRPr="00B84CBC">
        <w:rPr>
          <w:b w:val="0"/>
          <w:bCs w:val="0"/>
          <w:sz w:val="24"/>
          <w:lang w:eastAsia="ru-RU"/>
        </w:rPr>
        <w:t xml:space="preserve">что на 13,1% выше АППГ. </w:t>
      </w:r>
      <w:r w:rsidR="00C20D3C" w:rsidRPr="00B84CBC">
        <w:rPr>
          <w:b w:val="0"/>
          <w:bCs w:val="0"/>
          <w:sz w:val="24"/>
          <w:lang w:eastAsia="ru-RU"/>
        </w:rPr>
        <w:t xml:space="preserve">Большинство жителей установили индивидуальные приборы учета на горячей и холодной воде  и самостоятельно регулируют свое фактическое потребление. </w:t>
      </w:r>
    </w:p>
    <w:p w:rsidR="00C20D3C" w:rsidRPr="00B84CBC" w:rsidRDefault="00091534" w:rsidP="00091534">
      <w:pPr>
        <w:keepNext/>
        <w:suppressLineNumbers/>
        <w:suppressAutoHyphens/>
        <w:autoSpaceDE w:val="0"/>
        <w:autoSpaceDN w:val="0"/>
        <w:adjustRightInd w:val="0"/>
        <w:contextualSpacing/>
        <w:jc w:val="both"/>
      </w:pPr>
      <w:r w:rsidRPr="00B84CBC">
        <w:t>Рассчитывается у</w:t>
      </w:r>
      <w:r w:rsidR="00C20D3C" w:rsidRPr="00B84CBC">
        <w:t>дельная величина потребления горячей и холодной воды в многоквартирных домах</w:t>
      </w:r>
      <w:r w:rsidRPr="00B84CBC">
        <w:t>:</w:t>
      </w:r>
      <w:r w:rsidR="00C20D3C" w:rsidRPr="00B84CBC">
        <w:t xml:space="preserve"> объем потребления воды (горячей, холодной) в многоквартирных домах (тыс. куб. метров) / число проживающих в многоквартирных домах (тыс. человек)</w:t>
      </w:r>
    </w:p>
    <w:p w:rsidR="00C20D3C" w:rsidRPr="00B84CBC" w:rsidRDefault="00C20D3C" w:rsidP="00091534">
      <w:pPr>
        <w:keepNext/>
        <w:suppressLineNumbers/>
        <w:suppressAutoHyphens/>
        <w:autoSpaceDE w:val="0"/>
        <w:autoSpaceDN w:val="0"/>
        <w:adjustRightInd w:val="0"/>
        <w:contextualSpacing/>
        <w:jc w:val="both"/>
      </w:pPr>
      <w:r w:rsidRPr="00B84CBC">
        <w:t>ГВС</w:t>
      </w:r>
      <w:r w:rsidR="00091534" w:rsidRPr="00B84CBC">
        <w:t xml:space="preserve">   </w:t>
      </w:r>
      <w:r w:rsidRPr="00B84CBC">
        <w:t>859,70272 / 50,275</w:t>
      </w:r>
      <w:r w:rsidR="00091534" w:rsidRPr="00B84CBC">
        <w:t xml:space="preserve"> </w:t>
      </w:r>
      <w:r w:rsidRPr="00B84CBC">
        <w:t>=</w:t>
      </w:r>
      <w:r w:rsidR="00091534" w:rsidRPr="00B84CBC">
        <w:t xml:space="preserve"> </w:t>
      </w:r>
      <w:r w:rsidRPr="00B84CBC">
        <w:t xml:space="preserve">17,1 (куб. метров на 1 </w:t>
      </w:r>
      <w:r w:rsidR="00645EF4" w:rsidRPr="00B84CBC">
        <w:t>проживающего</w:t>
      </w:r>
      <w:r w:rsidRPr="00B84CBC">
        <w:t>)</w:t>
      </w:r>
      <w:r w:rsidR="00091534" w:rsidRPr="00B84CBC">
        <w:t>,</w:t>
      </w:r>
    </w:p>
    <w:p w:rsidR="00C20D3C" w:rsidRPr="00B84CBC" w:rsidRDefault="00C20D3C" w:rsidP="00091534">
      <w:pPr>
        <w:keepNext/>
        <w:suppressLineNumbers/>
        <w:suppressAutoHyphens/>
        <w:autoSpaceDE w:val="0"/>
        <w:autoSpaceDN w:val="0"/>
        <w:adjustRightInd w:val="0"/>
        <w:contextualSpacing/>
        <w:jc w:val="both"/>
      </w:pPr>
      <w:r w:rsidRPr="00B84CBC">
        <w:t xml:space="preserve">ХВС </w:t>
      </w:r>
      <w:r w:rsidR="00091534" w:rsidRPr="00B84CBC">
        <w:t xml:space="preserve"> </w:t>
      </w:r>
      <w:r w:rsidRPr="00B84CBC">
        <w:t>1 910,488</w:t>
      </w:r>
      <w:r w:rsidR="00091534" w:rsidRPr="00B84CBC">
        <w:t xml:space="preserve"> </w:t>
      </w:r>
      <w:r w:rsidRPr="00B84CBC">
        <w:t>/ 50,275</w:t>
      </w:r>
      <w:r w:rsidR="00091534" w:rsidRPr="00B84CBC">
        <w:t xml:space="preserve"> </w:t>
      </w:r>
      <w:r w:rsidRPr="00B84CBC">
        <w:t>= 38,0 (куб. метров на 1 прож</w:t>
      </w:r>
      <w:r w:rsidR="00645EF4" w:rsidRPr="00B84CBC">
        <w:t>ивающего</w:t>
      </w:r>
      <w:r w:rsidRPr="00B84CBC">
        <w:t>)</w:t>
      </w:r>
      <w:r w:rsidR="00091534" w:rsidRPr="00B84CBC">
        <w:t>.</w:t>
      </w:r>
    </w:p>
    <w:p w:rsidR="00AB4BC3" w:rsidRPr="00B84CBC" w:rsidRDefault="00AB4BC3" w:rsidP="00DE6F51">
      <w:pPr>
        <w:pStyle w:val="210"/>
        <w:keepNext/>
        <w:suppressLineNumbers/>
        <w:ind w:firstLine="709"/>
        <w:contextualSpacing/>
        <w:rPr>
          <w:b w:val="0"/>
          <w:bCs w:val="0"/>
          <w:sz w:val="24"/>
          <w:lang w:eastAsia="zh-CN"/>
        </w:rPr>
      </w:pPr>
      <w:r w:rsidRPr="00B84CBC">
        <w:rPr>
          <w:b w:val="0"/>
          <w:bCs w:val="0"/>
          <w:i/>
          <w:sz w:val="24"/>
          <w:u w:val="single"/>
          <w:lang w:eastAsia="zh-CN"/>
        </w:rPr>
        <w:t>- по природному газу</w:t>
      </w:r>
      <w:r w:rsidRPr="00B84CBC">
        <w:rPr>
          <w:b w:val="0"/>
          <w:bCs w:val="0"/>
          <w:sz w:val="24"/>
          <w:lang w:eastAsia="zh-CN"/>
        </w:rPr>
        <w:t xml:space="preserve"> – в МО г.Саяногорск данный вид коммунальных услуг не используется.</w:t>
      </w:r>
    </w:p>
    <w:p w:rsidR="007A1D6A" w:rsidRPr="00B84CBC" w:rsidRDefault="007A1D6A" w:rsidP="00B66BDD">
      <w:pPr>
        <w:pStyle w:val="210"/>
        <w:keepNext/>
        <w:suppressLineNumbers/>
        <w:ind w:firstLine="709"/>
        <w:contextualSpacing/>
        <w:rPr>
          <w:b w:val="0"/>
          <w:bCs w:val="0"/>
          <w:sz w:val="10"/>
          <w:szCs w:val="10"/>
          <w:lang w:eastAsia="zh-CN"/>
        </w:rPr>
      </w:pPr>
    </w:p>
    <w:p w:rsidR="006039EB" w:rsidRPr="00B84CBC" w:rsidRDefault="006039EB" w:rsidP="00B66BDD">
      <w:pPr>
        <w:keepNext/>
        <w:suppressLineNumbers/>
        <w:suppressAutoHyphens/>
        <w:contextualSpacing/>
        <w:jc w:val="both"/>
        <w:rPr>
          <w:i/>
        </w:rPr>
      </w:pPr>
      <w:r w:rsidRPr="00B84CBC">
        <w:rPr>
          <w:b/>
        </w:rPr>
        <w:t xml:space="preserve">Показатель №40 </w:t>
      </w:r>
      <w:r w:rsidRPr="00B84CBC">
        <w:rPr>
          <w:i/>
        </w:rPr>
        <w:t>«Удельная величина потребления энергетических ресурсов (электрическая и тепловая энергия, вода) муниципальными бюджетными учреждениями</w:t>
      </w:r>
      <w:r w:rsidR="000428A6" w:rsidRPr="00B84CBC">
        <w:rPr>
          <w:i/>
        </w:rPr>
        <w:t>:</w:t>
      </w:r>
      <w:r w:rsidRPr="00B84CBC">
        <w:rPr>
          <w:i/>
        </w:rPr>
        <w:t>.</w:t>
      </w:r>
    </w:p>
    <w:p w:rsidR="00A668A4" w:rsidRPr="00B84CBC" w:rsidRDefault="00A668A4" w:rsidP="00B66BDD">
      <w:pPr>
        <w:pStyle w:val="210"/>
        <w:keepNext/>
        <w:suppressLineNumbers/>
        <w:ind w:firstLine="708"/>
        <w:contextualSpacing/>
        <w:rPr>
          <w:b w:val="0"/>
          <w:bCs w:val="0"/>
          <w:sz w:val="24"/>
          <w:lang w:eastAsia="zh-CN"/>
        </w:rPr>
      </w:pPr>
      <w:r w:rsidRPr="00B84CBC">
        <w:rPr>
          <w:b w:val="0"/>
          <w:bCs w:val="0"/>
          <w:sz w:val="24"/>
          <w:lang w:eastAsia="zh-CN"/>
        </w:rPr>
        <w:t>В соответствии с частью 1 статьи 24 главы 7 Федерального закона от 23.11.2009 №</w:t>
      </w:r>
      <w:r w:rsidR="00091534" w:rsidRPr="00B84CBC">
        <w:rPr>
          <w:b w:val="0"/>
          <w:bCs w:val="0"/>
          <w:sz w:val="24"/>
          <w:lang w:eastAsia="zh-CN"/>
        </w:rPr>
        <w:t xml:space="preserve"> </w:t>
      </w:r>
      <w:r w:rsidRPr="00B84CBC">
        <w:rPr>
          <w:b w:val="0"/>
          <w:bCs w:val="0"/>
          <w:sz w:val="24"/>
          <w:lang w:eastAsia="zh-CN"/>
        </w:rPr>
        <w:t>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тепловой энергии, электрической энергии, в течение пяти лет не менее чем на пятнадцать процентов от объема фактически потребленного ими в 2009 году каждого из указанных ресурсов с ежегодным снижением такого объема не менее чем на три процента.</w:t>
      </w:r>
    </w:p>
    <w:p w:rsidR="00A668A4" w:rsidRPr="00B84CBC" w:rsidRDefault="00A668A4" w:rsidP="00B66BDD">
      <w:pPr>
        <w:pStyle w:val="210"/>
        <w:keepNext/>
        <w:suppressLineNumbers/>
        <w:contextualSpacing/>
        <w:rPr>
          <w:b w:val="0"/>
          <w:bCs w:val="0"/>
          <w:sz w:val="24"/>
          <w:lang w:eastAsia="zh-CN"/>
        </w:rPr>
      </w:pPr>
      <w:r w:rsidRPr="00B84CBC">
        <w:rPr>
          <w:b w:val="0"/>
          <w:bCs w:val="0"/>
          <w:sz w:val="24"/>
          <w:lang w:eastAsia="zh-CN"/>
        </w:rPr>
        <w:t>Удельная величина потребленных (израсходованных) энергетических ресурсов за 2019 год составила:</w:t>
      </w:r>
    </w:p>
    <w:p w:rsidR="002E09DD" w:rsidRPr="00B84CBC" w:rsidRDefault="00A668A4" w:rsidP="00091534">
      <w:pPr>
        <w:pStyle w:val="210"/>
        <w:keepNext/>
        <w:suppressLineNumbers/>
        <w:ind w:firstLine="709"/>
        <w:contextualSpacing/>
        <w:rPr>
          <w:b w:val="0"/>
          <w:bCs w:val="0"/>
          <w:sz w:val="24"/>
          <w:lang w:eastAsia="zh-CN"/>
        </w:rPr>
      </w:pPr>
      <w:r w:rsidRPr="00B84CBC">
        <w:rPr>
          <w:b w:val="0"/>
          <w:bCs w:val="0"/>
          <w:i/>
          <w:sz w:val="24"/>
          <w:u w:val="single"/>
          <w:lang w:eastAsia="zh-CN"/>
        </w:rPr>
        <w:t>-</w:t>
      </w:r>
      <w:r w:rsidR="00091534" w:rsidRPr="00B84CBC">
        <w:rPr>
          <w:b w:val="0"/>
          <w:bCs w:val="0"/>
          <w:i/>
          <w:sz w:val="24"/>
          <w:u w:val="single"/>
          <w:lang w:eastAsia="zh-CN"/>
        </w:rPr>
        <w:t xml:space="preserve"> </w:t>
      </w:r>
      <w:r w:rsidRPr="00B84CBC">
        <w:rPr>
          <w:b w:val="0"/>
          <w:bCs w:val="0"/>
          <w:i/>
          <w:sz w:val="24"/>
          <w:u w:val="single"/>
          <w:lang w:eastAsia="zh-CN"/>
        </w:rPr>
        <w:t>по электрической энергии</w:t>
      </w:r>
      <w:r w:rsidR="00091534" w:rsidRPr="00B84CBC">
        <w:rPr>
          <w:b w:val="0"/>
          <w:bCs w:val="0"/>
          <w:i/>
          <w:sz w:val="24"/>
          <w:u w:val="single"/>
          <w:lang w:eastAsia="zh-CN"/>
        </w:rPr>
        <w:t xml:space="preserve"> </w:t>
      </w:r>
      <w:r w:rsidR="00360B9C" w:rsidRPr="00B84CBC">
        <w:rPr>
          <w:b w:val="0"/>
          <w:bCs w:val="0"/>
          <w:sz w:val="24"/>
          <w:lang w:eastAsia="zh-CN"/>
        </w:rPr>
        <w:t>–</w:t>
      </w:r>
      <w:r w:rsidR="003A20A3" w:rsidRPr="00B84CBC">
        <w:rPr>
          <w:b w:val="0"/>
          <w:bCs w:val="0"/>
          <w:sz w:val="24"/>
          <w:lang w:eastAsia="zh-CN"/>
        </w:rPr>
        <w:t xml:space="preserve"> </w:t>
      </w:r>
      <w:r w:rsidR="002E09DD" w:rsidRPr="00B84CBC">
        <w:rPr>
          <w:b w:val="0"/>
          <w:bCs w:val="0"/>
          <w:sz w:val="24"/>
          <w:lang w:eastAsia="zh-CN"/>
        </w:rPr>
        <w:t xml:space="preserve">38,4 кВт*ч на 1 человека, что </w:t>
      </w:r>
      <w:r w:rsidR="003A20A3" w:rsidRPr="00B84CBC">
        <w:rPr>
          <w:b w:val="0"/>
          <w:bCs w:val="0"/>
          <w:sz w:val="24"/>
          <w:lang w:eastAsia="zh-CN"/>
        </w:rPr>
        <w:t xml:space="preserve">на </w:t>
      </w:r>
      <w:r w:rsidR="002E09DD" w:rsidRPr="00B84CBC">
        <w:rPr>
          <w:b w:val="0"/>
          <w:bCs w:val="0"/>
          <w:sz w:val="24"/>
          <w:lang w:eastAsia="zh-CN"/>
        </w:rPr>
        <w:t xml:space="preserve">16,3% ниже показателя </w:t>
      </w:r>
      <w:r w:rsidR="003A20A3" w:rsidRPr="00B84CBC">
        <w:rPr>
          <w:b w:val="0"/>
          <w:bCs w:val="0"/>
          <w:sz w:val="24"/>
          <w:lang w:eastAsia="ru-RU"/>
        </w:rPr>
        <w:t>АППГ</w:t>
      </w:r>
      <w:r w:rsidR="002E09DD" w:rsidRPr="00B84CBC">
        <w:rPr>
          <w:b w:val="0"/>
          <w:bCs w:val="0"/>
          <w:sz w:val="24"/>
          <w:lang w:eastAsia="zh-CN"/>
        </w:rPr>
        <w:t>. Снижение потребления электрической энергии объясняется заменой ламп накаливания на энергосберегающие. Расчет значений показателей по электрической энергии равен объему потребленной (израсходованной) электрической энергии муниципальными учреждениями (тыс. кВт.ч.) / среднегодовую численность постоянного населения городского округа (муниципального района) (тыс. человек): 2 276,35/ 59,205 = 38,4 (кВт*ч на 1 человека нас</w:t>
      </w:r>
      <w:r w:rsidR="003A20A3" w:rsidRPr="00B84CBC">
        <w:rPr>
          <w:b w:val="0"/>
          <w:bCs w:val="0"/>
          <w:sz w:val="24"/>
          <w:lang w:eastAsia="zh-CN"/>
        </w:rPr>
        <w:t>еления</w:t>
      </w:r>
      <w:r w:rsidR="002E09DD" w:rsidRPr="00B84CBC">
        <w:rPr>
          <w:b w:val="0"/>
          <w:bCs w:val="0"/>
          <w:sz w:val="24"/>
          <w:lang w:eastAsia="zh-CN"/>
        </w:rPr>
        <w:t>);</w:t>
      </w:r>
    </w:p>
    <w:p w:rsidR="002E09DD" w:rsidRPr="00B84CBC" w:rsidRDefault="00A668A4" w:rsidP="00091534">
      <w:pPr>
        <w:pStyle w:val="210"/>
        <w:keepNext/>
        <w:suppressLineNumbers/>
        <w:ind w:firstLine="709"/>
        <w:contextualSpacing/>
        <w:rPr>
          <w:b w:val="0"/>
          <w:bCs w:val="0"/>
          <w:sz w:val="24"/>
          <w:lang w:eastAsia="zh-CN"/>
        </w:rPr>
      </w:pPr>
      <w:r w:rsidRPr="00B84CBC">
        <w:rPr>
          <w:b w:val="0"/>
          <w:bCs w:val="0"/>
          <w:i/>
          <w:sz w:val="24"/>
          <w:u w:val="single"/>
          <w:lang w:eastAsia="zh-CN"/>
        </w:rPr>
        <w:t>-</w:t>
      </w:r>
      <w:r w:rsidR="00091534" w:rsidRPr="00B84CBC">
        <w:rPr>
          <w:b w:val="0"/>
          <w:bCs w:val="0"/>
          <w:i/>
          <w:sz w:val="24"/>
          <w:u w:val="single"/>
          <w:lang w:eastAsia="zh-CN"/>
        </w:rPr>
        <w:t xml:space="preserve"> </w:t>
      </w:r>
      <w:r w:rsidRPr="00B84CBC">
        <w:rPr>
          <w:b w:val="0"/>
          <w:bCs w:val="0"/>
          <w:i/>
          <w:sz w:val="24"/>
          <w:u w:val="single"/>
          <w:lang w:eastAsia="zh-CN"/>
        </w:rPr>
        <w:t>по тепловой энергии</w:t>
      </w:r>
      <w:r w:rsidRPr="00B84CBC">
        <w:rPr>
          <w:b w:val="0"/>
          <w:bCs w:val="0"/>
          <w:sz w:val="24"/>
          <w:lang w:eastAsia="zh-CN"/>
        </w:rPr>
        <w:t xml:space="preserve"> – </w:t>
      </w:r>
      <w:r w:rsidR="002E09DD" w:rsidRPr="00B84CBC">
        <w:rPr>
          <w:b w:val="0"/>
          <w:bCs w:val="0"/>
          <w:sz w:val="24"/>
          <w:lang w:eastAsia="zh-CN"/>
        </w:rPr>
        <w:t xml:space="preserve">0,198 Гкал на 1 человека (на уровне </w:t>
      </w:r>
      <w:r w:rsidR="003A20A3" w:rsidRPr="00B84CBC">
        <w:rPr>
          <w:b w:val="0"/>
          <w:bCs w:val="0"/>
          <w:sz w:val="24"/>
          <w:lang w:eastAsia="ru-RU"/>
        </w:rPr>
        <w:t>АППГ</w:t>
      </w:r>
      <w:r w:rsidR="002E09DD" w:rsidRPr="00B84CBC">
        <w:rPr>
          <w:b w:val="0"/>
          <w:bCs w:val="0"/>
          <w:sz w:val="24"/>
          <w:lang w:eastAsia="zh-CN"/>
        </w:rPr>
        <w:t>).</w:t>
      </w:r>
    </w:p>
    <w:p w:rsidR="002E09DD" w:rsidRPr="00B84CBC" w:rsidRDefault="002E09DD" w:rsidP="00091534">
      <w:pPr>
        <w:keepNext/>
        <w:suppressLineNumbers/>
        <w:suppressAutoHyphens/>
        <w:autoSpaceDE w:val="0"/>
        <w:autoSpaceDN w:val="0"/>
        <w:adjustRightInd w:val="0"/>
        <w:ind w:firstLine="709"/>
        <w:contextualSpacing/>
        <w:jc w:val="both"/>
        <w:rPr>
          <w:lang w:eastAsia="zh-CN"/>
        </w:rPr>
      </w:pPr>
      <w:r w:rsidRPr="00B84CBC">
        <w:rPr>
          <w:lang w:eastAsia="zh-CN"/>
        </w:rPr>
        <w:t xml:space="preserve">Расчет значений показателей по тепловой энергии равен объему потребленной (израсходованной) тепловой энергии муниципальными учреждениями (Гкал) / общую площадь муниципальных учреждений (кв. метров): 31 704,94/ 160 306,34 = 0,198 (Гкал на 1 </w:t>
      </w:r>
      <w:r w:rsidR="00091534" w:rsidRPr="00B84CBC">
        <w:rPr>
          <w:lang w:eastAsia="zh-CN"/>
        </w:rPr>
        <w:t>кв.м</w:t>
      </w:r>
      <w:r w:rsidRPr="00B84CBC">
        <w:rPr>
          <w:lang w:eastAsia="zh-CN"/>
        </w:rPr>
        <w:t>);</w:t>
      </w:r>
    </w:p>
    <w:p w:rsidR="002E09DD" w:rsidRPr="00B84CBC" w:rsidRDefault="00A668A4" w:rsidP="00091534">
      <w:pPr>
        <w:pStyle w:val="210"/>
        <w:keepNext/>
        <w:suppressLineNumbers/>
        <w:ind w:firstLine="709"/>
        <w:contextualSpacing/>
        <w:rPr>
          <w:b w:val="0"/>
          <w:sz w:val="24"/>
        </w:rPr>
      </w:pPr>
      <w:r w:rsidRPr="00B84CBC">
        <w:rPr>
          <w:b w:val="0"/>
          <w:bCs w:val="0"/>
          <w:i/>
          <w:sz w:val="24"/>
          <w:u w:val="single"/>
          <w:lang w:eastAsia="zh-CN"/>
        </w:rPr>
        <w:t>-</w:t>
      </w:r>
      <w:r w:rsidR="00091534" w:rsidRPr="00B84CBC">
        <w:rPr>
          <w:b w:val="0"/>
          <w:bCs w:val="0"/>
          <w:i/>
          <w:sz w:val="24"/>
          <w:u w:val="single"/>
          <w:lang w:eastAsia="zh-CN"/>
        </w:rPr>
        <w:t xml:space="preserve"> </w:t>
      </w:r>
      <w:r w:rsidRPr="00B84CBC">
        <w:rPr>
          <w:b w:val="0"/>
          <w:bCs w:val="0"/>
          <w:i/>
          <w:sz w:val="24"/>
          <w:u w:val="single"/>
          <w:lang w:eastAsia="zh-CN"/>
        </w:rPr>
        <w:t>по горячей воде</w:t>
      </w:r>
      <w:r w:rsidRPr="00B84CBC">
        <w:rPr>
          <w:b w:val="0"/>
          <w:bCs w:val="0"/>
          <w:sz w:val="24"/>
          <w:lang w:eastAsia="zh-CN"/>
        </w:rPr>
        <w:t xml:space="preserve"> –</w:t>
      </w:r>
      <w:r w:rsidR="002E09DD" w:rsidRPr="00B84CBC">
        <w:rPr>
          <w:b w:val="0"/>
          <w:bCs w:val="0"/>
          <w:sz w:val="24"/>
          <w:lang w:eastAsia="zh-CN"/>
        </w:rPr>
        <w:t xml:space="preserve"> 0,65 м2 на 1 человека (по сравнению с </w:t>
      </w:r>
      <w:r w:rsidR="003A20A3" w:rsidRPr="00B84CBC">
        <w:rPr>
          <w:b w:val="0"/>
          <w:bCs w:val="0"/>
          <w:sz w:val="24"/>
          <w:lang w:eastAsia="ru-RU"/>
        </w:rPr>
        <w:t>АППГ</w:t>
      </w:r>
      <w:r w:rsidR="003A20A3" w:rsidRPr="00B84CBC">
        <w:rPr>
          <w:b w:val="0"/>
          <w:bCs w:val="0"/>
          <w:sz w:val="24"/>
          <w:lang w:eastAsia="zh-CN"/>
        </w:rPr>
        <w:t xml:space="preserve"> </w:t>
      </w:r>
      <w:r w:rsidR="002E09DD" w:rsidRPr="00B84CBC">
        <w:rPr>
          <w:b w:val="0"/>
          <w:bCs w:val="0"/>
          <w:sz w:val="24"/>
          <w:lang w:eastAsia="zh-CN"/>
        </w:rPr>
        <w:t>снизилось на 7,1%). Снижение незначительное и возможно связано с неисправностью приборов учета воды, низкой температурой теплоносителя</w:t>
      </w:r>
      <w:r w:rsidR="006C6CAD" w:rsidRPr="00B84CBC">
        <w:rPr>
          <w:b w:val="0"/>
          <w:bCs w:val="0"/>
          <w:sz w:val="24"/>
          <w:lang w:eastAsia="zh-CN"/>
        </w:rPr>
        <w:t>;</w:t>
      </w:r>
      <w:r w:rsidR="002E09DD" w:rsidRPr="00B84CBC">
        <w:rPr>
          <w:b w:val="0"/>
          <w:sz w:val="24"/>
        </w:rPr>
        <w:t xml:space="preserve"> </w:t>
      </w:r>
    </w:p>
    <w:p w:rsidR="00C3263D" w:rsidRPr="00B84CBC" w:rsidRDefault="00A668A4" w:rsidP="00091534">
      <w:pPr>
        <w:pStyle w:val="210"/>
        <w:keepNext/>
        <w:suppressLineNumbers/>
        <w:ind w:firstLine="709"/>
        <w:contextualSpacing/>
        <w:rPr>
          <w:b w:val="0"/>
          <w:bCs w:val="0"/>
          <w:sz w:val="24"/>
          <w:lang w:eastAsia="zh-CN"/>
        </w:rPr>
      </w:pPr>
      <w:r w:rsidRPr="00B84CBC">
        <w:rPr>
          <w:b w:val="0"/>
          <w:bCs w:val="0"/>
          <w:i/>
          <w:sz w:val="24"/>
          <w:u w:val="single"/>
          <w:lang w:eastAsia="zh-CN"/>
        </w:rPr>
        <w:t>-</w:t>
      </w:r>
      <w:r w:rsidR="00091534" w:rsidRPr="00B84CBC">
        <w:rPr>
          <w:b w:val="0"/>
          <w:bCs w:val="0"/>
          <w:i/>
          <w:sz w:val="24"/>
          <w:u w:val="single"/>
          <w:lang w:eastAsia="zh-CN"/>
        </w:rPr>
        <w:t xml:space="preserve"> </w:t>
      </w:r>
      <w:r w:rsidRPr="00B84CBC">
        <w:rPr>
          <w:b w:val="0"/>
          <w:bCs w:val="0"/>
          <w:i/>
          <w:sz w:val="24"/>
          <w:u w:val="single"/>
          <w:lang w:eastAsia="zh-CN"/>
        </w:rPr>
        <w:t>по холодной воде</w:t>
      </w:r>
      <w:r w:rsidRPr="00B84CBC">
        <w:rPr>
          <w:b w:val="0"/>
          <w:bCs w:val="0"/>
          <w:sz w:val="24"/>
          <w:lang w:eastAsia="zh-CN"/>
        </w:rPr>
        <w:t xml:space="preserve"> –</w:t>
      </w:r>
      <w:r w:rsidR="003A20A3" w:rsidRPr="00B84CBC">
        <w:rPr>
          <w:b w:val="0"/>
          <w:bCs w:val="0"/>
          <w:sz w:val="24"/>
          <w:lang w:eastAsia="zh-CN"/>
        </w:rPr>
        <w:t xml:space="preserve"> </w:t>
      </w:r>
      <w:r w:rsidR="00C3263D" w:rsidRPr="00B84CBC">
        <w:rPr>
          <w:b w:val="0"/>
          <w:bCs w:val="0"/>
          <w:sz w:val="24"/>
          <w:lang w:eastAsia="zh-CN"/>
        </w:rPr>
        <w:t xml:space="preserve">1,5 куб.м. на 1 человека (по сравнению с </w:t>
      </w:r>
      <w:r w:rsidR="003A20A3" w:rsidRPr="00B84CBC">
        <w:rPr>
          <w:b w:val="0"/>
          <w:bCs w:val="0"/>
          <w:sz w:val="24"/>
          <w:lang w:eastAsia="ru-RU"/>
        </w:rPr>
        <w:t>АППГ</w:t>
      </w:r>
      <w:r w:rsidR="003A20A3" w:rsidRPr="00B84CBC">
        <w:rPr>
          <w:b w:val="0"/>
          <w:bCs w:val="0"/>
          <w:sz w:val="24"/>
          <w:lang w:eastAsia="zh-CN"/>
        </w:rPr>
        <w:t xml:space="preserve"> </w:t>
      </w:r>
      <w:r w:rsidR="00091534" w:rsidRPr="00B84CBC">
        <w:rPr>
          <w:b w:val="0"/>
          <w:bCs w:val="0"/>
          <w:sz w:val="24"/>
          <w:lang w:eastAsia="zh-CN"/>
        </w:rPr>
        <w:t xml:space="preserve">снизилось 9,4%). </w:t>
      </w:r>
      <w:r w:rsidR="00C3263D" w:rsidRPr="00B84CBC">
        <w:rPr>
          <w:b w:val="0"/>
          <w:bCs w:val="0"/>
          <w:sz w:val="24"/>
          <w:lang w:eastAsia="zh-CN"/>
        </w:rPr>
        <w:t>Расчет значений показателей равен объему потребленной (израсходованной) воды (горячей, холодной) муниципальными учреждениями (тыс. куб. метров) / среднегодовую численность постоянного населения городского округа (муниципального района) (тыс. человек):</w:t>
      </w:r>
    </w:p>
    <w:p w:rsidR="00C3263D" w:rsidRPr="00B84CBC" w:rsidRDefault="00C3263D" w:rsidP="00091534">
      <w:pPr>
        <w:pStyle w:val="210"/>
        <w:keepNext/>
        <w:suppressLineNumbers/>
        <w:ind w:firstLine="0"/>
        <w:contextualSpacing/>
        <w:rPr>
          <w:b w:val="0"/>
          <w:bCs w:val="0"/>
          <w:sz w:val="24"/>
          <w:lang w:eastAsia="zh-CN"/>
        </w:rPr>
      </w:pPr>
      <w:r w:rsidRPr="00B84CBC">
        <w:rPr>
          <w:b w:val="0"/>
          <w:bCs w:val="0"/>
          <w:sz w:val="24"/>
          <w:lang w:eastAsia="zh-CN"/>
        </w:rPr>
        <w:t>ГВС  38,48325 / 59,205</w:t>
      </w:r>
      <w:r w:rsidR="00091534" w:rsidRPr="00B84CBC">
        <w:rPr>
          <w:b w:val="0"/>
          <w:bCs w:val="0"/>
          <w:sz w:val="24"/>
          <w:lang w:eastAsia="zh-CN"/>
        </w:rPr>
        <w:t xml:space="preserve"> </w:t>
      </w:r>
      <w:r w:rsidRPr="00B84CBC">
        <w:rPr>
          <w:b w:val="0"/>
          <w:bCs w:val="0"/>
          <w:sz w:val="24"/>
          <w:lang w:eastAsia="zh-CN"/>
        </w:rPr>
        <w:t>=</w:t>
      </w:r>
      <w:r w:rsidR="00091534" w:rsidRPr="00B84CBC">
        <w:rPr>
          <w:b w:val="0"/>
          <w:bCs w:val="0"/>
          <w:sz w:val="24"/>
          <w:lang w:eastAsia="zh-CN"/>
        </w:rPr>
        <w:t xml:space="preserve"> </w:t>
      </w:r>
      <w:r w:rsidRPr="00B84CBC">
        <w:rPr>
          <w:b w:val="0"/>
          <w:bCs w:val="0"/>
          <w:sz w:val="24"/>
          <w:lang w:eastAsia="zh-CN"/>
        </w:rPr>
        <w:t>0,65 (куб. метров на 1 человека нас</w:t>
      </w:r>
      <w:r w:rsidR="006C6CAD" w:rsidRPr="00B84CBC">
        <w:rPr>
          <w:b w:val="0"/>
          <w:bCs w:val="0"/>
          <w:sz w:val="24"/>
          <w:lang w:eastAsia="zh-CN"/>
        </w:rPr>
        <w:t>еления</w:t>
      </w:r>
      <w:r w:rsidRPr="00B84CBC">
        <w:rPr>
          <w:b w:val="0"/>
          <w:bCs w:val="0"/>
          <w:sz w:val="24"/>
          <w:lang w:eastAsia="zh-CN"/>
        </w:rPr>
        <w:t>)</w:t>
      </w:r>
    </w:p>
    <w:p w:rsidR="00C3263D" w:rsidRPr="00B84CBC" w:rsidRDefault="00C3263D" w:rsidP="00091534">
      <w:pPr>
        <w:pStyle w:val="210"/>
        <w:keepNext/>
        <w:suppressLineNumbers/>
        <w:ind w:firstLine="0"/>
        <w:contextualSpacing/>
        <w:rPr>
          <w:b w:val="0"/>
          <w:bCs w:val="0"/>
          <w:sz w:val="24"/>
          <w:lang w:eastAsia="zh-CN"/>
        </w:rPr>
      </w:pPr>
      <w:r w:rsidRPr="00B84CBC">
        <w:rPr>
          <w:b w:val="0"/>
          <w:bCs w:val="0"/>
          <w:sz w:val="24"/>
          <w:lang w:eastAsia="zh-CN"/>
        </w:rPr>
        <w:t>ХВС 88,7195 /</w:t>
      </w:r>
      <w:r w:rsidR="00091534" w:rsidRPr="00B84CBC">
        <w:rPr>
          <w:b w:val="0"/>
          <w:bCs w:val="0"/>
          <w:sz w:val="24"/>
          <w:lang w:eastAsia="zh-CN"/>
        </w:rPr>
        <w:t xml:space="preserve"> </w:t>
      </w:r>
      <w:r w:rsidRPr="00B84CBC">
        <w:rPr>
          <w:b w:val="0"/>
          <w:bCs w:val="0"/>
          <w:sz w:val="24"/>
          <w:lang w:eastAsia="zh-CN"/>
        </w:rPr>
        <w:t>59,205</w:t>
      </w:r>
      <w:r w:rsidR="00091534" w:rsidRPr="00B84CBC">
        <w:rPr>
          <w:b w:val="0"/>
          <w:bCs w:val="0"/>
          <w:sz w:val="24"/>
          <w:lang w:eastAsia="zh-CN"/>
        </w:rPr>
        <w:t xml:space="preserve"> </w:t>
      </w:r>
      <w:r w:rsidRPr="00B84CBC">
        <w:rPr>
          <w:b w:val="0"/>
          <w:bCs w:val="0"/>
          <w:sz w:val="24"/>
          <w:lang w:eastAsia="zh-CN"/>
        </w:rPr>
        <w:t>=</w:t>
      </w:r>
      <w:r w:rsidR="00091534" w:rsidRPr="00B84CBC">
        <w:rPr>
          <w:b w:val="0"/>
          <w:bCs w:val="0"/>
          <w:sz w:val="24"/>
          <w:lang w:eastAsia="zh-CN"/>
        </w:rPr>
        <w:t xml:space="preserve"> </w:t>
      </w:r>
      <w:r w:rsidRPr="00B84CBC">
        <w:rPr>
          <w:b w:val="0"/>
          <w:bCs w:val="0"/>
          <w:sz w:val="24"/>
          <w:lang w:eastAsia="zh-CN"/>
        </w:rPr>
        <w:t>1,5 (куб.метров на 1 человека нас</w:t>
      </w:r>
      <w:r w:rsidR="006C6CAD" w:rsidRPr="00B84CBC">
        <w:rPr>
          <w:b w:val="0"/>
          <w:bCs w:val="0"/>
          <w:sz w:val="24"/>
          <w:lang w:eastAsia="zh-CN"/>
        </w:rPr>
        <w:t>еления</w:t>
      </w:r>
      <w:r w:rsidRPr="00B84CBC">
        <w:rPr>
          <w:b w:val="0"/>
          <w:bCs w:val="0"/>
          <w:sz w:val="24"/>
          <w:lang w:eastAsia="zh-CN"/>
        </w:rPr>
        <w:t>)</w:t>
      </w:r>
      <w:r w:rsidR="006C6CAD" w:rsidRPr="00B84CBC">
        <w:rPr>
          <w:b w:val="0"/>
          <w:bCs w:val="0"/>
          <w:sz w:val="24"/>
          <w:lang w:eastAsia="zh-CN"/>
        </w:rPr>
        <w:t>;</w:t>
      </w:r>
    </w:p>
    <w:p w:rsidR="00A668A4" w:rsidRPr="00B84CBC" w:rsidRDefault="00A668A4" w:rsidP="00091534">
      <w:pPr>
        <w:pStyle w:val="210"/>
        <w:keepNext/>
        <w:suppressLineNumbers/>
        <w:tabs>
          <w:tab w:val="left" w:pos="284"/>
        </w:tabs>
        <w:ind w:firstLine="709"/>
        <w:contextualSpacing/>
        <w:rPr>
          <w:b w:val="0"/>
          <w:bCs w:val="0"/>
          <w:sz w:val="24"/>
          <w:lang w:eastAsia="zh-CN"/>
        </w:rPr>
      </w:pPr>
      <w:r w:rsidRPr="00B84CBC">
        <w:rPr>
          <w:b w:val="0"/>
          <w:bCs w:val="0"/>
          <w:sz w:val="24"/>
          <w:lang w:eastAsia="zh-CN"/>
        </w:rPr>
        <w:t xml:space="preserve"> </w:t>
      </w:r>
      <w:r w:rsidRPr="00B84CBC">
        <w:rPr>
          <w:b w:val="0"/>
          <w:bCs w:val="0"/>
          <w:i/>
          <w:sz w:val="24"/>
          <w:u w:val="single"/>
          <w:lang w:eastAsia="zh-CN"/>
        </w:rPr>
        <w:t>-</w:t>
      </w:r>
      <w:r w:rsidR="00091534" w:rsidRPr="00B84CBC">
        <w:rPr>
          <w:b w:val="0"/>
          <w:bCs w:val="0"/>
          <w:i/>
          <w:sz w:val="24"/>
          <w:u w:val="single"/>
          <w:lang w:eastAsia="zh-CN"/>
        </w:rPr>
        <w:t xml:space="preserve"> </w:t>
      </w:r>
      <w:r w:rsidRPr="00B84CBC">
        <w:rPr>
          <w:b w:val="0"/>
          <w:bCs w:val="0"/>
          <w:i/>
          <w:sz w:val="24"/>
          <w:u w:val="single"/>
          <w:lang w:eastAsia="zh-CN"/>
        </w:rPr>
        <w:t>по природному газу</w:t>
      </w:r>
      <w:r w:rsidRPr="00B84CBC">
        <w:rPr>
          <w:b w:val="0"/>
          <w:bCs w:val="0"/>
          <w:sz w:val="24"/>
          <w:lang w:eastAsia="zh-CN"/>
        </w:rPr>
        <w:t xml:space="preserve"> – данный вид коммунальных услуг не используется.</w:t>
      </w:r>
    </w:p>
    <w:p w:rsidR="00645EF4" w:rsidRPr="00B84CBC" w:rsidRDefault="00645EF4" w:rsidP="00B66BDD">
      <w:pPr>
        <w:pStyle w:val="210"/>
        <w:keepNext/>
        <w:suppressLineNumbers/>
        <w:tabs>
          <w:tab w:val="left" w:pos="284"/>
        </w:tabs>
        <w:ind w:left="180" w:hanging="180"/>
        <w:contextualSpacing/>
        <w:rPr>
          <w:b w:val="0"/>
          <w:bCs w:val="0"/>
          <w:sz w:val="10"/>
          <w:szCs w:val="10"/>
          <w:lang w:eastAsia="zh-CN"/>
        </w:rPr>
      </w:pPr>
    </w:p>
    <w:p w:rsidR="00645EF4" w:rsidRPr="00B84CBC" w:rsidRDefault="00A07196" w:rsidP="00B66BDD">
      <w:pPr>
        <w:keepNext/>
        <w:suppressLineNumbers/>
        <w:suppressAutoHyphens/>
        <w:ind w:firstLine="720"/>
        <w:contextualSpacing/>
        <w:jc w:val="both"/>
        <w:rPr>
          <w:i/>
        </w:rPr>
      </w:pPr>
      <w:r w:rsidRPr="00B84CBC">
        <w:rPr>
          <w:b/>
        </w:rPr>
        <w:t>Показатель №</w:t>
      </w:r>
      <w:r w:rsidR="00091534" w:rsidRPr="00B84CBC">
        <w:rPr>
          <w:b/>
        </w:rPr>
        <w:t xml:space="preserve"> </w:t>
      </w:r>
      <w:r w:rsidRPr="00B84CBC">
        <w:rPr>
          <w:b/>
        </w:rPr>
        <w:t>41</w:t>
      </w:r>
      <w:r w:rsidRPr="00B84CBC">
        <w:t xml:space="preserve"> </w:t>
      </w:r>
      <w:r w:rsidRPr="00B84CBC">
        <w:rPr>
          <w:i/>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r w:rsidR="00BE3C20" w:rsidRPr="00B84CBC">
        <w:rPr>
          <w:i/>
        </w:rPr>
        <w:t>»</w:t>
      </w:r>
    </w:p>
    <w:p w:rsidR="00A07196" w:rsidRPr="00B84CBC" w:rsidRDefault="00BE3C20" w:rsidP="00091534">
      <w:pPr>
        <w:keepNext/>
        <w:suppressLineNumbers/>
        <w:suppressAutoHyphens/>
        <w:ind w:firstLine="709"/>
        <w:contextualSpacing/>
        <w:jc w:val="both"/>
        <w:rPr>
          <w:lang w:eastAsia="zh-CN"/>
        </w:rPr>
      </w:pPr>
      <w:r w:rsidRPr="00B84CBC">
        <w:rPr>
          <w:u w:val="single"/>
          <w:lang w:eastAsia="zh-CN"/>
        </w:rPr>
        <w:lastRenderedPageBreak/>
        <w:t>в</w:t>
      </w:r>
      <w:r w:rsidR="00645EF4" w:rsidRPr="00B84CBC">
        <w:rPr>
          <w:u w:val="single"/>
          <w:lang w:eastAsia="zh-CN"/>
        </w:rPr>
        <w:t xml:space="preserve"> сфере культуры:</w:t>
      </w:r>
      <w:r w:rsidR="00645EF4" w:rsidRPr="00B84CBC">
        <w:rPr>
          <w:lang w:eastAsia="zh-CN"/>
        </w:rPr>
        <w:t xml:space="preserve"> с</w:t>
      </w:r>
      <w:r w:rsidR="00A07196" w:rsidRPr="00B84CBC">
        <w:rPr>
          <w:lang w:eastAsia="zh-CN"/>
        </w:rPr>
        <w:t>огласно Федеральному Закону Российской Федерации от 21.07.2014 №</w:t>
      </w:r>
      <w:r w:rsidR="00091534" w:rsidRPr="00B84CBC">
        <w:rPr>
          <w:lang w:eastAsia="zh-CN"/>
        </w:rPr>
        <w:t xml:space="preserve"> </w:t>
      </w:r>
      <w:r w:rsidR="00A07196" w:rsidRPr="00B84CBC">
        <w:rPr>
          <w:lang w:eastAsia="zh-CN"/>
        </w:rPr>
        <w:t>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независимая оценка качества проводится не чаще чем один раз в год и не реже чем один раз в три года. Последний раз независимая оценка качества</w:t>
      </w:r>
      <w:r w:rsidR="002150FC" w:rsidRPr="00B84CBC">
        <w:rPr>
          <w:lang w:eastAsia="zh-CN"/>
        </w:rPr>
        <w:t xml:space="preserve"> условий оказания услуг муниципальными</w:t>
      </w:r>
      <w:r w:rsidR="00A07196" w:rsidRPr="00B84CBC">
        <w:rPr>
          <w:lang w:eastAsia="zh-CN"/>
        </w:rPr>
        <w:t xml:space="preserve"> учреждени</w:t>
      </w:r>
      <w:r w:rsidR="002150FC" w:rsidRPr="00B84CBC">
        <w:rPr>
          <w:lang w:eastAsia="zh-CN"/>
        </w:rPr>
        <w:t>ями</w:t>
      </w:r>
      <w:r w:rsidR="00A07196" w:rsidRPr="00B84CBC">
        <w:rPr>
          <w:lang w:eastAsia="zh-CN"/>
        </w:rPr>
        <w:t xml:space="preserve"> культуры проводилась в 2017 году на основании приказа Министерства культуры Республики Хакасия. Среднеарифметический показатель по четырем учреждениям культуры составил </w:t>
      </w:r>
      <w:r w:rsidR="00B43AF1" w:rsidRPr="00B84CBC">
        <w:rPr>
          <w:lang w:eastAsia="zh-CN"/>
        </w:rPr>
        <w:t>82,0</w:t>
      </w:r>
      <w:r w:rsidR="00A07196" w:rsidRPr="00B84CBC">
        <w:rPr>
          <w:lang w:eastAsia="zh-CN"/>
        </w:rPr>
        <w:t xml:space="preserve"> балл</w:t>
      </w:r>
      <w:r w:rsidR="00B43AF1" w:rsidRPr="00B84CBC">
        <w:rPr>
          <w:lang w:eastAsia="zh-CN"/>
        </w:rPr>
        <w:t>а</w:t>
      </w:r>
      <w:r w:rsidR="00A07196" w:rsidRPr="00B84CBC">
        <w:rPr>
          <w:lang w:eastAsia="zh-CN"/>
        </w:rPr>
        <w:t xml:space="preserve">. Следующая независимая оценка качества будет проводиться в 2020 году, ее показатель установлен на уровне 2017 года. </w:t>
      </w:r>
    </w:p>
    <w:p w:rsidR="00645EF4" w:rsidRPr="00B84CBC" w:rsidRDefault="00BE3C20" w:rsidP="00091534">
      <w:pPr>
        <w:keepNext/>
        <w:suppressLineNumbers/>
        <w:suppressAutoHyphens/>
        <w:ind w:firstLine="709"/>
        <w:contextualSpacing/>
        <w:jc w:val="both"/>
        <w:rPr>
          <w:lang w:eastAsia="zh-CN"/>
        </w:rPr>
      </w:pPr>
      <w:r w:rsidRPr="00B84CBC">
        <w:rPr>
          <w:u w:val="single"/>
          <w:lang w:eastAsia="zh-CN"/>
        </w:rPr>
        <w:t>в сфере образования:</w:t>
      </w:r>
      <w:r w:rsidRPr="00B84CBC">
        <w:rPr>
          <w:lang w:eastAsia="zh-CN"/>
        </w:rPr>
        <w:t xml:space="preserve"> независимая оценка качества условий оказания услуг муниципальными учреждениями образования </w:t>
      </w:r>
      <w:r w:rsidR="00DE3538" w:rsidRPr="00B84CBC">
        <w:rPr>
          <w:lang w:eastAsia="zh-CN"/>
        </w:rPr>
        <w:t xml:space="preserve">в муниципальном образовании город Саяногорск </w:t>
      </w:r>
      <w:r w:rsidRPr="00B84CBC">
        <w:rPr>
          <w:lang w:eastAsia="zh-CN"/>
        </w:rPr>
        <w:t>не проводилась</w:t>
      </w:r>
      <w:r w:rsidR="00DE3538" w:rsidRPr="00B84CBC">
        <w:rPr>
          <w:lang w:eastAsia="zh-CN"/>
        </w:rPr>
        <w:t>,</w:t>
      </w:r>
      <w:r w:rsidRPr="00B84CBC">
        <w:rPr>
          <w:lang w:eastAsia="zh-CN"/>
        </w:rPr>
        <w:t xml:space="preserve"> проведение ее не планируется в виду отсутствия денежных средств. В 2019 году независимая оценка качества условий оказания услуг муниципальными учреждениями образования проводилась Министерством образования и науки Республики Хакасия, показатель составил 58,18 балла.</w:t>
      </w:r>
    </w:p>
    <w:p w:rsidR="00A07196" w:rsidRPr="00B84CBC" w:rsidRDefault="00A07196" w:rsidP="00B66BDD">
      <w:pPr>
        <w:pStyle w:val="210"/>
        <w:keepNext/>
        <w:suppressLineNumbers/>
        <w:ind w:firstLine="0"/>
        <w:contextualSpacing/>
        <w:rPr>
          <w:b w:val="0"/>
          <w:bCs w:val="0"/>
          <w:sz w:val="24"/>
          <w:lang w:eastAsia="zh-CN"/>
        </w:rPr>
      </w:pPr>
    </w:p>
    <w:p w:rsidR="00003075" w:rsidRPr="00B84CBC" w:rsidRDefault="00003075" w:rsidP="00B66BDD">
      <w:pPr>
        <w:keepNext/>
        <w:suppressLineNumbers/>
        <w:suppressAutoHyphens/>
        <w:contextualSpacing/>
        <w:rPr>
          <w:lang w:eastAsia="zh-CN"/>
        </w:rPr>
      </w:pPr>
    </w:p>
    <w:p w:rsidR="00091534" w:rsidRPr="00B84CBC" w:rsidRDefault="00091534" w:rsidP="00B66BDD">
      <w:pPr>
        <w:keepNext/>
        <w:suppressLineNumbers/>
        <w:suppressAutoHyphens/>
        <w:contextualSpacing/>
        <w:rPr>
          <w:color w:val="000000"/>
        </w:rPr>
      </w:pPr>
      <w:r w:rsidRPr="00B84CBC">
        <w:rPr>
          <w:color w:val="000000"/>
        </w:rPr>
        <w:t xml:space="preserve">Глава муниципального образования </w:t>
      </w:r>
    </w:p>
    <w:p w:rsidR="00003075" w:rsidRPr="00B84CBC" w:rsidRDefault="00091534" w:rsidP="00B66BDD">
      <w:pPr>
        <w:keepNext/>
        <w:suppressLineNumbers/>
        <w:suppressAutoHyphens/>
        <w:contextualSpacing/>
        <w:rPr>
          <w:color w:val="000000"/>
        </w:rPr>
      </w:pPr>
      <w:r w:rsidRPr="00B84CBC">
        <w:rPr>
          <w:color w:val="000000"/>
        </w:rPr>
        <w:t xml:space="preserve">город Саяногорск  </w:t>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r>
      <w:r w:rsidRPr="00B84CBC">
        <w:rPr>
          <w:color w:val="000000"/>
        </w:rPr>
        <w:tab/>
        <w:t xml:space="preserve">  М.А.Валов</w:t>
      </w: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Default="00091534"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Default="00B84CBC" w:rsidP="00B66BDD">
      <w:pPr>
        <w:keepNext/>
        <w:suppressLineNumbers/>
        <w:suppressAutoHyphens/>
        <w:contextualSpacing/>
        <w:rPr>
          <w:color w:val="000000"/>
        </w:rPr>
      </w:pPr>
    </w:p>
    <w:p w:rsidR="00B84CBC" w:rsidRPr="00B84CBC" w:rsidRDefault="00B84CBC"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B66BDD">
      <w:pPr>
        <w:keepNext/>
        <w:suppressLineNumbers/>
        <w:suppressAutoHyphens/>
        <w:contextualSpacing/>
        <w:rPr>
          <w:color w:val="000000"/>
        </w:rPr>
      </w:pPr>
    </w:p>
    <w:p w:rsidR="00091534" w:rsidRPr="00B84CBC" w:rsidRDefault="00091534" w:rsidP="00D91AE6">
      <w:pPr>
        <w:keepNext/>
        <w:suppressLineNumbers/>
        <w:suppressAutoHyphens/>
        <w:contextualSpacing/>
        <w:rPr>
          <w:color w:val="000000"/>
          <w:sz w:val="18"/>
          <w:szCs w:val="18"/>
        </w:rPr>
      </w:pPr>
      <w:r w:rsidRPr="00B84CBC">
        <w:rPr>
          <w:color w:val="000000"/>
          <w:sz w:val="18"/>
          <w:szCs w:val="18"/>
        </w:rPr>
        <w:t>Митрофанова Анжелика Николаевна</w:t>
      </w:r>
    </w:p>
    <w:p w:rsidR="00091534" w:rsidRPr="00B84CBC" w:rsidRDefault="00091534" w:rsidP="00091534">
      <w:pPr>
        <w:keepNext/>
        <w:suppressLineNumbers/>
        <w:suppressAutoHyphens/>
        <w:autoSpaceDE w:val="0"/>
        <w:autoSpaceDN w:val="0"/>
        <w:adjustRightInd w:val="0"/>
        <w:contextualSpacing/>
      </w:pPr>
      <w:r w:rsidRPr="00B84CBC">
        <w:rPr>
          <w:color w:val="000000"/>
          <w:sz w:val="18"/>
          <w:szCs w:val="18"/>
        </w:rPr>
        <w:t xml:space="preserve">8(39042) 2-38-29 </w:t>
      </w:r>
      <w:bookmarkStart w:id="1" w:name="RANGE!A1:M34"/>
      <w:bookmarkStart w:id="2" w:name="RANGE!A1:K35"/>
      <w:bookmarkStart w:id="3" w:name="RANGE!A1:L35"/>
      <w:bookmarkEnd w:id="1"/>
      <w:bookmarkEnd w:id="2"/>
      <w:bookmarkEnd w:id="3"/>
      <w:r w:rsidRPr="00B84CBC">
        <w:rPr>
          <w:color w:val="000000"/>
          <w:sz w:val="22"/>
          <w:szCs w:val="22"/>
        </w:rPr>
        <w:tab/>
      </w:r>
      <w:r w:rsidRPr="00B84CBC">
        <w:rPr>
          <w:color w:val="000000"/>
        </w:rPr>
        <w:t xml:space="preserve"> </w:t>
      </w:r>
    </w:p>
    <w:sectPr w:rsidR="00091534" w:rsidRPr="00B84CBC" w:rsidSect="00B84CBC">
      <w:pgSz w:w="11906" w:h="16838" w:code="9"/>
      <w:pgMar w:top="851" w:right="851" w:bottom="709" w:left="1276"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AA0" w:rsidRDefault="00DB3AA0" w:rsidP="0057072E">
      <w:r>
        <w:separator/>
      </w:r>
    </w:p>
  </w:endnote>
  <w:endnote w:type="continuationSeparator" w:id="1">
    <w:p w:rsidR="00DB3AA0" w:rsidRDefault="00DB3AA0" w:rsidP="005707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hruti">
    <w:panose1 w:val="020B0502040204020203"/>
    <w:charset w:val="00"/>
    <w:family w:val="swiss"/>
    <w:pitch w:val="variable"/>
    <w:sig w:usb0="0004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Kartika">
    <w:panose1 w:val="02020503030404060203"/>
    <w:charset w:val="00"/>
    <w:family w:val="roman"/>
    <w:pitch w:val="variable"/>
    <w:sig w:usb0="008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4C" w:rsidRDefault="003D474C">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AA0" w:rsidRDefault="00DB3AA0" w:rsidP="0057072E">
      <w:r>
        <w:separator/>
      </w:r>
    </w:p>
  </w:footnote>
  <w:footnote w:type="continuationSeparator" w:id="1">
    <w:p w:rsidR="00DB3AA0" w:rsidRDefault="00DB3AA0" w:rsidP="00570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74C" w:rsidRDefault="00DB788F">
    <w:pPr>
      <w:pStyle w:val="a7"/>
      <w:jc w:val="center"/>
    </w:pPr>
    <w:fldSimple w:instr=" PAGE   \* MERGEFORMAT ">
      <w:r w:rsidR="00BF0FAF">
        <w:rPr>
          <w:noProof/>
        </w:rPr>
        <w:t>21</w:t>
      </w:r>
    </w:fldSimple>
  </w:p>
  <w:p w:rsidR="003D474C" w:rsidRDefault="003D474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5C95"/>
    <w:multiLevelType w:val="hybridMultilevel"/>
    <w:tmpl w:val="9858F776"/>
    <w:lvl w:ilvl="0" w:tplc="04190005">
      <w:start w:val="1"/>
      <w:numFmt w:val="bullet"/>
      <w:lvlText w:val=""/>
      <w:lvlJc w:val="left"/>
      <w:pPr>
        <w:tabs>
          <w:tab w:val="num" w:pos="720"/>
        </w:tabs>
        <w:ind w:left="720" w:hanging="360"/>
      </w:pPr>
      <w:rPr>
        <w:rFonts w:ascii="Wingdings" w:hAnsi="Wingdings" w:hint="default"/>
      </w:rPr>
    </w:lvl>
    <w:lvl w:ilvl="1" w:tplc="A1443CE8">
      <w:start w:val="1"/>
      <w:numFmt w:val="bullet"/>
      <w:lvlText w:val="-"/>
      <w:lvlJc w:val="left"/>
      <w:pPr>
        <w:tabs>
          <w:tab w:val="num" w:pos="1080"/>
        </w:tabs>
        <w:ind w:left="1080" w:firstLine="0"/>
      </w:pPr>
      <w:rPr>
        <w:rFonts w:ascii="Shruti" w:hAnsi="Shruti"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5F195A"/>
    <w:multiLevelType w:val="hybridMultilevel"/>
    <w:tmpl w:val="7B062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C0A09"/>
    <w:multiLevelType w:val="hybridMultilevel"/>
    <w:tmpl w:val="7DC212EE"/>
    <w:lvl w:ilvl="0" w:tplc="72C6B5BA">
      <w:start w:val="1"/>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A9C2ED3"/>
    <w:multiLevelType w:val="hybridMultilevel"/>
    <w:tmpl w:val="2B6C5A48"/>
    <w:lvl w:ilvl="0" w:tplc="72C6B5BA">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3C45BA"/>
    <w:multiLevelType w:val="hybridMultilevel"/>
    <w:tmpl w:val="802A426A"/>
    <w:lvl w:ilvl="0" w:tplc="546E651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8E6D10"/>
    <w:multiLevelType w:val="hybridMultilevel"/>
    <w:tmpl w:val="8ECA695A"/>
    <w:lvl w:ilvl="0" w:tplc="A1443CE8">
      <w:start w:val="1"/>
      <w:numFmt w:val="bullet"/>
      <w:lvlText w:val="-"/>
      <w:lvlJc w:val="left"/>
      <w:pPr>
        <w:tabs>
          <w:tab w:val="num" w:pos="720"/>
        </w:tabs>
        <w:ind w:left="720" w:firstLine="0"/>
      </w:pPr>
      <w:rPr>
        <w:rFonts w:ascii="Shruti" w:hAnsi="Shruti" w:hint="default"/>
      </w:rPr>
    </w:lvl>
    <w:lvl w:ilvl="1" w:tplc="A1443CE8">
      <w:start w:val="1"/>
      <w:numFmt w:val="bullet"/>
      <w:lvlText w:val="-"/>
      <w:lvlJc w:val="left"/>
      <w:pPr>
        <w:tabs>
          <w:tab w:val="num" w:pos="1080"/>
        </w:tabs>
        <w:ind w:left="1080" w:firstLine="0"/>
      </w:pPr>
      <w:rPr>
        <w:rFonts w:ascii="Shruti" w:hAnsi="Shruti"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4E3CE1"/>
    <w:multiLevelType w:val="hybridMultilevel"/>
    <w:tmpl w:val="91A27996"/>
    <w:lvl w:ilvl="0" w:tplc="47BEAFE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3735955"/>
    <w:multiLevelType w:val="hybridMultilevel"/>
    <w:tmpl w:val="B7D63CF2"/>
    <w:lvl w:ilvl="0" w:tplc="A162CE4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E32556"/>
    <w:multiLevelType w:val="hybridMultilevel"/>
    <w:tmpl w:val="10363B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2365AE"/>
    <w:multiLevelType w:val="hybridMultilevel"/>
    <w:tmpl w:val="407AE97E"/>
    <w:lvl w:ilvl="0" w:tplc="72C6B5BA">
      <w:start w:val="1"/>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1BDD34FC"/>
    <w:multiLevelType w:val="hybridMultilevel"/>
    <w:tmpl w:val="74E273E4"/>
    <w:lvl w:ilvl="0" w:tplc="640A6E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2D4902"/>
    <w:multiLevelType w:val="hybridMultilevel"/>
    <w:tmpl w:val="0E2A9C2E"/>
    <w:lvl w:ilvl="0" w:tplc="72C6B5BA">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02C7248"/>
    <w:multiLevelType w:val="hybridMultilevel"/>
    <w:tmpl w:val="17A469AA"/>
    <w:lvl w:ilvl="0" w:tplc="A1D64168">
      <w:start w:val="1"/>
      <w:numFmt w:val="bullet"/>
      <w:lvlText w:val="-"/>
      <w:lvlJc w:val="left"/>
      <w:pPr>
        <w:ind w:left="1428" w:hanging="360"/>
      </w:pPr>
      <w:rPr>
        <w:rFonts w:ascii="Kartika" w:hAnsi="Kartika"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6F7617"/>
    <w:multiLevelType w:val="hybridMultilevel"/>
    <w:tmpl w:val="1E6C84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7B2D3A"/>
    <w:multiLevelType w:val="hybridMultilevel"/>
    <w:tmpl w:val="AFC23C2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8B3CFA"/>
    <w:multiLevelType w:val="hybridMultilevel"/>
    <w:tmpl w:val="FF227D04"/>
    <w:lvl w:ilvl="0" w:tplc="DD38618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A0B8C"/>
    <w:multiLevelType w:val="hybridMultilevel"/>
    <w:tmpl w:val="37029266"/>
    <w:lvl w:ilvl="0" w:tplc="88C45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426D45"/>
    <w:multiLevelType w:val="hybridMultilevel"/>
    <w:tmpl w:val="62862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B90475"/>
    <w:multiLevelType w:val="hybridMultilevel"/>
    <w:tmpl w:val="7E0055BA"/>
    <w:lvl w:ilvl="0" w:tplc="46E8AB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C639A3"/>
    <w:multiLevelType w:val="hybridMultilevel"/>
    <w:tmpl w:val="B2F2988C"/>
    <w:lvl w:ilvl="0" w:tplc="136A48A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645603"/>
    <w:multiLevelType w:val="hybridMultilevel"/>
    <w:tmpl w:val="0D062280"/>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D617D8"/>
    <w:multiLevelType w:val="hybridMultilevel"/>
    <w:tmpl w:val="DB1C80C0"/>
    <w:lvl w:ilvl="0" w:tplc="A1443CE8">
      <w:start w:val="1"/>
      <w:numFmt w:val="bullet"/>
      <w:lvlText w:val="-"/>
      <w:lvlJc w:val="left"/>
      <w:pPr>
        <w:tabs>
          <w:tab w:val="num" w:pos="720"/>
        </w:tabs>
        <w:ind w:left="720" w:firstLine="0"/>
      </w:pPr>
      <w:rPr>
        <w:rFonts w:ascii="Shruti" w:hAnsi="Shruti"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37F1BF6"/>
    <w:multiLevelType w:val="hybridMultilevel"/>
    <w:tmpl w:val="C9DED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8513BC"/>
    <w:multiLevelType w:val="hybridMultilevel"/>
    <w:tmpl w:val="78FCEA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396F2C"/>
    <w:multiLevelType w:val="hybridMultilevel"/>
    <w:tmpl w:val="75B066A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4A974E12"/>
    <w:multiLevelType w:val="hybridMultilevel"/>
    <w:tmpl w:val="ABC4044C"/>
    <w:lvl w:ilvl="0" w:tplc="1BDC3AEA">
      <w:start w:val="1"/>
      <w:numFmt w:val="bullet"/>
      <w:lvlText w:val=""/>
      <w:lvlJc w:val="left"/>
      <w:pPr>
        <w:tabs>
          <w:tab w:val="num" w:pos="354"/>
        </w:tabs>
        <w:ind w:left="354" w:hanging="284"/>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26">
    <w:nsid w:val="4BF00D0F"/>
    <w:multiLevelType w:val="hybridMultilevel"/>
    <w:tmpl w:val="6F2C454C"/>
    <w:lvl w:ilvl="0" w:tplc="136A48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414B83"/>
    <w:multiLevelType w:val="hybridMultilevel"/>
    <w:tmpl w:val="6EA2CF34"/>
    <w:lvl w:ilvl="0" w:tplc="46E8AB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65782E"/>
    <w:multiLevelType w:val="hybridMultilevel"/>
    <w:tmpl w:val="AF3C459C"/>
    <w:lvl w:ilvl="0" w:tplc="136A48AA">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541750A5"/>
    <w:multiLevelType w:val="hybridMultilevel"/>
    <w:tmpl w:val="10481E60"/>
    <w:lvl w:ilvl="0" w:tplc="A1D64168">
      <w:start w:val="1"/>
      <w:numFmt w:val="bullet"/>
      <w:lvlText w:val="-"/>
      <w:lvlJc w:val="left"/>
      <w:pPr>
        <w:ind w:left="1428" w:hanging="360"/>
      </w:pPr>
      <w:rPr>
        <w:rFonts w:ascii="Kartika" w:hAnsi="Kartika"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55584A45"/>
    <w:multiLevelType w:val="hybridMultilevel"/>
    <w:tmpl w:val="0CF6A82C"/>
    <w:lvl w:ilvl="0" w:tplc="1BDC3AEA">
      <w:start w:val="1"/>
      <w:numFmt w:val="bullet"/>
      <w:lvlText w:val=""/>
      <w:lvlJc w:val="left"/>
      <w:pPr>
        <w:tabs>
          <w:tab w:val="num" w:pos="284"/>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781312"/>
    <w:multiLevelType w:val="hybridMultilevel"/>
    <w:tmpl w:val="BB2C1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9C80E26"/>
    <w:multiLevelType w:val="hybridMultilevel"/>
    <w:tmpl w:val="E4B8199E"/>
    <w:lvl w:ilvl="0" w:tplc="1BDC3AEA">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BD77DF3"/>
    <w:multiLevelType w:val="hybridMultilevel"/>
    <w:tmpl w:val="336E6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536E8C"/>
    <w:multiLevelType w:val="hybridMultilevel"/>
    <w:tmpl w:val="8A0C7228"/>
    <w:lvl w:ilvl="0" w:tplc="47BEAFE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60DF18F2"/>
    <w:multiLevelType w:val="hybridMultilevel"/>
    <w:tmpl w:val="4C1E93A4"/>
    <w:lvl w:ilvl="0" w:tplc="FDC63928">
      <w:start w:val="1"/>
      <w:numFmt w:val="bullet"/>
      <w:lvlText w:val="*"/>
      <w:lvlJc w:val="left"/>
      <w:pPr>
        <w:tabs>
          <w:tab w:val="num" w:pos="2160"/>
        </w:tabs>
        <w:ind w:left="2160" w:firstLine="0"/>
      </w:pPr>
      <w:rPr>
        <w:rFonts w:ascii="Shruti" w:hAnsi="Shruti"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1247075"/>
    <w:multiLevelType w:val="hybridMultilevel"/>
    <w:tmpl w:val="F05696FC"/>
    <w:lvl w:ilvl="0" w:tplc="46E8AB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F106E7"/>
    <w:multiLevelType w:val="hybridMultilevel"/>
    <w:tmpl w:val="11DC6CF2"/>
    <w:lvl w:ilvl="0" w:tplc="B91AC02C">
      <w:start w:val="65535"/>
      <w:numFmt w:val="bullet"/>
      <w:lvlText w:val="-"/>
      <w:lvlJc w:val="left"/>
      <w:pPr>
        <w:tabs>
          <w:tab w:val="num" w:pos="510"/>
        </w:tabs>
        <w:ind w:left="624"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4585C5B"/>
    <w:multiLevelType w:val="hybridMultilevel"/>
    <w:tmpl w:val="A8F0A8A2"/>
    <w:lvl w:ilvl="0" w:tplc="A1D64168">
      <w:start w:val="1"/>
      <w:numFmt w:val="bullet"/>
      <w:lvlText w:val="-"/>
      <w:lvlJc w:val="left"/>
      <w:pPr>
        <w:ind w:left="1146" w:hanging="360"/>
      </w:pPr>
      <w:rPr>
        <w:rFonts w:ascii="Kartika" w:hAnsi="Kartik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65455714"/>
    <w:multiLevelType w:val="hybridMultilevel"/>
    <w:tmpl w:val="DAAA549C"/>
    <w:lvl w:ilvl="0" w:tplc="45A081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A46487"/>
    <w:multiLevelType w:val="hybridMultilevel"/>
    <w:tmpl w:val="E2B4A0EA"/>
    <w:lvl w:ilvl="0" w:tplc="68307E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726596F"/>
    <w:multiLevelType w:val="hybridMultilevel"/>
    <w:tmpl w:val="9CB66268"/>
    <w:lvl w:ilvl="0" w:tplc="46E8AB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FB5A7B"/>
    <w:multiLevelType w:val="hybridMultilevel"/>
    <w:tmpl w:val="CC184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A268A8"/>
    <w:multiLevelType w:val="hybridMultilevel"/>
    <w:tmpl w:val="9EBC057C"/>
    <w:lvl w:ilvl="0" w:tplc="1BDC3AEA">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6FA1554"/>
    <w:multiLevelType w:val="hybridMultilevel"/>
    <w:tmpl w:val="ED241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546570"/>
    <w:multiLevelType w:val="hybridMultilevel"/>
    <w:tmpl w:val="83840674"/>
    <w:lvl w:ilvl="0" w:tplc="546E6518">
      <w:start w:val="1"/>
      <w:numFmt w:val="bullet"/>
      <w:lvlText w:val="-"/>
      <w:lvlJc w:val="left"/>
      <w:pPr>
        <w:ind w:left="1003" w:hanging="360"/>
      </w:pPr>
      <w:rPr>
        <w:rFonts w:ascii="Arial" w:hAnsi="Aria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6">
    <w:nsid w:val="7DE508B1"/>
    <w:multiLevelType w:val="hybridMultilevel"/>
    <w:tmpl w:val="61E4E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9F6A4A"/>
    <w:multiLevelType w:val="hybridMultilevel"/>
    <w:tmpl w:val="ED50DAE4"/>
    <w:lvl w:ilvl="0" w:tplc="A1443CE8">
      <w:start w:val="1"/>
      <w:numFmt w:val="bullet"/>
      <w:lvlText w:val="-"/>
      <w:lvlJc w:val="left"/>
      <w:pPr>
        <w:tabs>
          <w:tab w:val="num" w:pos="720"/>
        </w:tabs>
        <w:ind w:left="720" w:firstLine="0"/>
      </w:pPr>
      <w:rPr>
        <w:rFonts w:ascii="Shruti" w:hAnsi="Shruti"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0"/>
  </w:num>
  <w:num w:numId="2">
    <w:abstractNumId w:val="7"/>
  </w:num>
  <w:num w:numId="3">
    <w:abstractNumId w:val="37"/>
  </w:num>
  <w:num w:numId="4">
    <w:abstractNumId w:val="6"/>
  </w:num>
  <w:num w:numId="5">
    <w:abstractNumId w:val="34"/>
  </w:num>
  <w:num w:numId="6">
    <w:abstractNumId w:val="21"/>
  </w:num>
  <w:num w:numId="7">
    <w:abstractNumId w:val="8"/>
  </w:num>
  <w:num w:numId="8">
    <w:abstractNumId w:val="14"/>
  </w:num>
  <w:num w:numId="9">
    <w:abstractNumId w:val="0"/>
  </w:num>
  <w:num w:numId="10">
    <w:abstractNumId w:val="9"/>
  </w:num>
  <w:num w:numId="11">
    <w:abstractNumId w:val="11"/>
  </w:num>
  <w:num w:numId="12">
    <w:abstractNumId w:val="47"/>
  </w:num>
  <w:num w:numId="13">
    <w:abstractNumId w:val="5"/>
  </w:num>
  <w:num w:numId="14">
    <w:abstractNumId w:val="24"/>
  </w:num>
  <w:num w:numId="15">
    <w:abstractNumId w:val="22"/>
  </w:num>
  <w:num w:numId="16">
    <w:abstractNumId w:val="40"/>
  </w:num>
  <w:num w:numId="17">
    <w:abstractNumId w:val="35"/>
  </w:num>
  <w:num w:numId="18">
    <w:abstractNumId w:val="44"/>
  </w:num>
  <w:num w:numId="19">
    <w:abstractNumId w:val="33"/>
  </w:num>
  <w:num w:numId="20">
    <w:abstractNumId w:val="17"/>
  </w:num>
  <w:num w:numId="21">
    <w:abstractNumId w:val="31"/>
  </w:num>
  <w:num w:numId="22">
    <w:abstractNumId w:val="46"/>
  </w:num>
  <w:num w:numId="23">
    <w:abstractNumId w:val="42"/>
  </w:num>
  <w:num w:numId="24">
    <w:abstractNumId w:val="23"/>
  </w:num>
  <w:num w:numId="25">
    <w:abstractNumId w:val="25"/>
  </w:num>
  <w:num w:numId="26">
    <w:abstractNumId w:val="19"/>
  </w:num>
  <w:num w:numId="27">
    <w:abstractNumId w:val="43"/>
  </w:num>
  <w:num w:numId="28">
    <w:abstractNumId w:val="2"/>
  </w:num>
  <w:num w:numId="29">
    <w:abstractNumId w:val="28"/>
  </w:num>
  <w:num w:numId="30">
    <w:abstractNumId w:val="41"/>
  </w:num>
  <w:num w:numId="31">
    <w:abstractNumId w:val="32"/>
  </w:num>
  <w:num w:numId="32">
    <w:abstractNumId w:val="18"/>
  </w:num>
  <w:num w:numId="33">
    <w:abstractNumId w:val="27"/>
  </w:num>
  <w:num w:numId="34">
    <w:abstractNumId w:val="36"/>
  </w:num>
  <w:num w:numId="35">
    <w:abstractNumId w:val="12"/>
  </w:num>
  <w:num w:numId="36">
    <w:abstractNumId w:val="29"/>
  </w:num>
  <w:num w:numId="37">
    <w:abstractNumId w:val="38"/>
  </w:num>
  <w:num w:numId="38">
    <w:abstractNumId w:val="1"/>
  </w:num>
  <w:num w:numId="39">
    <w:abstractNumId w:val="13"/>
  </w:num>
  <w:num w:numId="40">
    <w:abstractNumId w:val="20"/>
  </w:num>
  <w:num w:numId="41">
    <w:abstractNumId w:val="26"/>
  </w:num>
  <w:num w:numId="42">
    <w:abstractNumId w:val="3"/>
  </w:num>
  <w:num w:numId="43">
    <w:abstractNumId w:val="15"/>
  </w:num>
  <w:num w:numId="44">
    <w:abstractNumId w:val="16"/>
  </w:num>
  <w:num w:numId="45">
    <w:abstractNumId w:val="4"/>
  </w:num>
  <w:num w:numId="46">
    <w:abstractNumId w:val="45"/>
  </w:num>
  <w:num w:numId="47">
    <w:abstractNumId w:val="10"/>
  </w:num>
  <w:num w:numId="48">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712E4"/>
    <w:rsid w:val="00001736"/>
    <w:rsid w:val="00002830"/>
    <w:rsid w:val="00002D98"/>
    <w:rsid w:val="00003075"/>
    <w:rsid w:val="000036CD"/>
    <w:rsid w:val="00004C38"/>
    <w:rsid w:val="000058CF"/>
    <w:rsid w:val="00006064"/>
    <w:rsid w:val="00006889"/>
    <w:rsid w:val="00006EDB"/>
    <w:rsid w:val="00010C63"/>
    <w:rsid w:val="0001170C"/>
    <w:rsid w:val="00011C08"/>
    <w:rsid w:val="0001488F"/>
    <w:rsid w:val="000155BB"/>
    <w:rsid w:val="000166DD"/>
    <w:rsid w:val="00017EF5"/>
    <w:rsid w:val="0002092A"/>
    <w:rsid w:val="00021DDE"/>
    <w:rsid w:val="00022AA8"/>
    <w:rsid w:val="00022BD2"/>
    <w:rsid w:val="00022CB5"/>
    <w:rsid w:val="00024BA7"/>
    <w:rsid w:val="000251C3"/>
    <w:rsid w:val="00026B8D"/>
    <w:rsid w:val="000272C6"/>
    <w:rsid w:val="00027F5A"/>
    <w:rsid w:val="0003175A"/>
    <w:rsid w:val="00032E3A"/>
    <w:rsid w:val="00033204"/>
    <w:rsid w:val="00033705"/>
    <w:rsid w:val="000341A6"/>
    <w:rsid w:val="000363AB"/>
    <w:rsid w:val="00040AAD"/>
    <w:rsid w:val="0004111D"/>
    <w:rsid w:val="00041456"/>
    <w:rsid w:val="000421DE"/>
    <w:rsid w:val="000424C4"/>
    <w:rsid w:val="000428A6"/>
    <w:rsid w:val="00043235"/>
    <w:rsid w:val="00044463"/>
    <w:rsid w:val="000460EA"/>
    <w:rsid w:val="00046CE3"/>
    <w:rsid w:val="00046F33"/>
    <w:rsid w:val="0004757E"/>
    <w:rsid w:val="00047613"/>
    <w:rsid w:val="00047777"/>
    <w:rsid w:val="000500A7"/>
    <w:rsid w:val="00050505"/>
    <w:rsid w:val="000505BD"/>
    <w:rsid w:val="0005203C"/>
    <w:rsid w:val="000528F0"/>
    <w:rsid w:val="0005545A"/>
    <w:rsid w:val="00057C04"/>
    <w:rsid w:val="00060A5E"/>
    <w:rsid w:val="000610FD"/>
    <w:rsid w:val="00061ADA"/>
    <w:rsid w:val="00061C27"/>
    <w:rsid w:val="00062C70"/>
    <w:rsid w:val="00064734"/>
    <w:rsid w:val="00065741"/>
    <w:rsid w:val="000661B6"/>
    <w:rsid w:val="0006681A"/>
    <w:rsid w:val="00070F5E"/>
    <w:rsid w:val="000716D4"/>
    <w:rsid w:val="00072464"/>
    <w:rsid w:val="00072A01"/>
    <w:rsid w:val="000765AD"/>
    <w:rsid w:val="00080534"/>
    <w:rsid w:val="000807EC"/>
    <w:rsid w:val="00080E33"/>
    <w:rsid w:val="000860BD"/>
    <w:rsid w:val="00086845"/>
    <w:rsid w:val="00086A3F"/>
    <w:rsid w:val="00086C3A"/>
    <w:rsid w:val="000871A4"/>
    <w:rsid w:val="00091534"/>
    <w:rsid w:val="00091AF0"/>
    <w:rsid w:val="000924FE"/>
    <w:rsid w:val="0009328E"/>
    <w:rsid w:val="00095154"/>
    <w:rsid w:val="00096499"/>
    <w:rsid w:val="00096613"/>
    <w:rsid w:val="0009677B"/>
    <w:rsid w:val="00097C5B"/>
    <w:rsid w:val="000A0B21"/>
    <w:rsid w:val="000A1218"/>
    <w:rsid w:val="000A18DC"/>
    <w:rsid w:val="000A3A4C"/>
    <w:rsid w:val="000A4E52"/>
    <w:rsid w:val="000A5919"/>
    <w:rsid w:val="000A5F93"/>
    <w:rsid w:val="000A61E9"/>
    <w:rsid w:val="000A68EB"/>
    <w:rsid w:val="000A7CC8"/>
    <w:rsid w:val="000B0AE4"/>
    <w:rsid w:val="000B1280"/>
    <w:rsid w:val="000B3383"/>
    <w:rsid w:val="000C29F5"/>
    <w:rsid w:val="000C2E92"/>
    <w:rsid w:val="000C34AA"/>
    <w:rsid w:val="000C55D5"/>
    <w:rsid w:val="000C6D6F"/>
    <w:rsid w:val="000C7765"/>
    <w:rsid w:val="000D0181"/>
    <w:rsid w:val="000D0BA5"/>
    <w:rsid w:val="000D1669"/>
    <w:rsid w:val="000D1672"/>
    <w:rsid w:val="000D1AFA"/>
    <w:rsid w:val="000D1D9F"/>
    <w:rsid w:val="000D2C6D"/>
    <w:rsid w:val="000D310B"/>
    <w:rsid w:val="000D3176"/>
    <w:rsid w:val="000D3674"/>
    <w:rsid w:val="000D382D"/>
    <w:rsid w:val="000D3AE7"/>
    <w:rsid w:val="000D537B"/>
    <w:rsid w:val="000D6057"/>
    <w:rsid w:val="000D77E7"/>
    <w:rsid w:val="000D7BEA"/>
    <w:rsid w:val="000D7D75"/>
    <w:rsid w:val="000E007E"/>
    <w:rsid w:val="000E0CDF"/>
    <w:rsid w:val="000E1561"/>
    <w:rsid w:val="000E2A8A"/>
    <w:rsid w:val="000E3180"/>
    <w:rsid w:val="000E3738"/>
    <w:rsid w:val="000E45F2"/>
    <w:rsid w:val="000E4C82"/>
    <w:rsid w:val="000E6374"/>
    <w:rsid w:val="000E652F"/>
    <w:rsid w:val="000E71E5"/>
    <w:rsid w:val="000E7E01"/>
    <w:rsid w:val="000F0609"/>
    <w:rsid w:val="000F223A"/>
    <w:rsid w:val="000F255C"/>
    <w:rsid w:val="000F3601"/>
    <w:rsid w:val="000F3C59"/>
    <w:rsid w:val="000F432F"/>
    <w:rsid w:val="000F6EC8"/>
    <w:rsid w:val="000F729F"/>
    <w:rsid w:val="000F77CD"/>
    <w:rsid w:val="00101203"/>
    <w:rsid w:val="00101D3D"/>
    <w:rsid w:val="00102857"/>
    <w:rsid w:val="001047F7"/>
    <w:rsid w:val="001053FE"/>
    <w:rsid w:val="00106988"/>
    <w:rsid w:val="00106A04"/>
    <w:rsid w:val="00106BF2"/>
    <w:rsid w:val="001100D5"/>
    <w:rsid w:val="00111089"/>
    <w:rsid w:val="00113393"/>
    <w:rsid w:val="001148A9"/>
    <w:rsid w:val="0011621B"/>
    <w:rsid w:val="0012078A"/>
    <w:rsid w:val="00120931"/>
    <w:rsid w:val="00121F1B"/>
    <w:rsid w:val="00122240"/>
    <w:rsid w:val="001223F8"/>
    <w:rsid w:val="0012268B"/>
    <w:rsid w:val="00122928"/>
    <w:rsid w:val="00123336"/>
    <w:rsid w:val="00123B4D"/>
    <w:rsid w:val="00123C89"/>
    <w:rsid w:val="0012474E"/>
    <w:rsid w:val="0012483F"/>
    <w:rsid w:val="001269BE"/>
    <w:rsid w:val="001300E3"/>
    <w:rsid w:val="00130324"/>
    <w:rsid w:val="0013052E"/>
    <w:rsid w:val="00130948"/>
    <w:rsid w:val="00130D6F"/>
    <w:rsid w:val="00131555"/>
    <w:rsid w:val="0013257A"/>
    <w:rsid w:val="00133463"/>
    <w:rsid w:val="00134538"/>
    <w:rsid w:val="00135192"/>
    <w:rsid w:val="001355FE"/>
    <w:rsid w:val="00135D86"/>
    <w:rsid w:val="00136E5F"/>
    <w:rsid w:val="00140924"/>
    <w:rsid w:val="0014151F"/>
    <w:rsid w:val="001415A0"/>
    <w:rsid w:val="00141852"/>
    <w:rsid w:val="001422D2"/>
    <w:rsid w:val="00143026"/>
    <w:rsid w:val="00144D5F"/>
    <w:rsid w:val="001468AE"/>
    <w:rsid w:val="00147675"/>
    <w:rsid w:val="00150A93"/>
    <w:rsid w:val="00150BD1"/>
    <w:rsid w:val="00151053"/>
    <w:rsid w:val="0015234B"/>
    <w:rsid w:val="00152815"/>
    <w:rsid w:val="00153486"/>
    <w:rsid w:val="00157D58"/>
    <w:rsid w:val="00160363"/>
    <w:rsid w:val="0016071C"/>
    <w:rsid w:val="001628DB"/>
    <w:rsid w:val="001634B9"/>
    <w:rsid w:val="001639FE"/>
    <w:rsid w:val="0016549D"/>
    <w:rsid w:val="00167497"/>
    <w:rsid w:val="00171554"/>
    <w:rsid w:val="00171BB3"/>
    <w:rsid w:val="00172450"/>
    <w:rsid w:val="00173672"/>
    <w:rsid w:val="00175B35"/>
    <w:rsid w:val="001778B6"/>
    <w:rsid w:val="0018133E"/>
    <w:rsid w:val="00182764"/>
    <w:rsid w:val="00182854"/>
    <w:rsid w:val="00185167"/>
    <w:rsid w:val="001857E5"/>
    <w:rsid w:val="001858E5"/>
    <w:rsid w:val="00185AE9"/>
    <w:rsid w:val="00186A71"/>
    <w:rsid w:val="00187EEF"/>
    <w:rsid w:val="00191562"/>
    <w:rsid w:val="0019285C"/>
    <w:rsid w:val="00192BAB"/>
    <w:rsid w:val="00193356"/>
    <w:rsid w:val="0019389C"/>
    <w:rsid w:val="00193EE7"/>
    <w:rsid w:val="001947AE"/>
    <w:rsid w:val="00196399"/>
    <w:rsid w:val="00196419"/>
    <w:rsid w:val="001A00A6"/>
    <w:rsid w:val="001A0AD6"/>
    <w:rsid w:val="001A0F31"/>
    <w:rsid w:val="001A1B2A"/>
    <w:rsid w:val="001A1BCD"/>
    <w:rsid w:val="001A1F8C"/>
    <w:rsid w:val="001A1FC8"/>
    <w:rsid w:val="001A30AF"/>
    <w:rsid w:val="001A33B1"/>
    <w:rsid w:val="001A4C72"/>
    <w:rsid w:val="001A6044"/>
    <w:rsid w:val="001A7ECB"/>
    <w:rsid w:val="001B1723"/>
    <w:rsid w:val="001B1F89"/>
    <w:rsid w:val="001B21CC"/>
    <w:rsid w:val="001B2393"/>
    <w:rsid w:val="001B26B1"/>
    <w:rsid w:val="001B2FA1"/>
    <w:rsid w:val="001B3DB2"/>
    <w:rsid w:val="001B3F59"/>
    <w:rsid w:val="001B6798"/>
    <w:rsid w:val="001B795B"/>
    <w:rsid w:val="001B7DF0"/>
    <w:rsid w:val="001B7EF4"/>
    <w:rsid w:val="001C0491"/>
    <w:rsid w:val="001C0626"/>
    <w:rsid w:val="001C0D13"/>
    <w:rsid w:val="001C11D1"/>
    <w:rsid w:val="001C1C65"/>
    <w:rsid w:val="001C2ECC"/>
    <w:rsid w:val="001C6663"/>
    <w:rsid w:val="001C6C8C"/>
    <w:rsid w:val="001D0623"/>
    <w:rsid w:val="001D0E2F"/>
    <w:rsid w:val="001D0EE8"/>
    <w:rsid w:val="001D0F76"/>
    <w:rsid w:val="001D1297"/>
    <w:rsid w:val="001D1626"/>
    <w:rsid w:val="001D2CA1"/>
    <w:rsid w:val="001D2D2E"/>
    <w:rsid w:val="001D4033"/>
    <w:rsid w:val="001D424B"/>
    <w:rsid w:val="001D429C"/>
    <w:rsid w:val="001D4DC4"/>
    <w:rsid w:val="001D678E"/>
    <w:rsid w:val="001E0AED"/>
    <w:rsid w:val="001E0F30"/>
    <w:rsid w:val="001E1C4A"/>
    <w:rsid w:val="001E2FA3"/>
    <w:rsid w:val="001E30A2"/>
    <w:rsid w:val="001E3B00"/>
    <w:rsid w:val="001E6A07"/>
    <w:rsid w:val="001F165A"/>
    <w:rsid w:val="001F1EC1"/>
    <w:rsid w:val="001F2FC4"/>
    <w:rsid w:val="001F33DD"/>
    <w:rsid w:val="001F5241"/>
    <w:rsid w:val="001F542B"/>
    <w:rsid w:val="001F57A0"/>
    <w:rsid w:val="001F669D"/>
    <w:rsid w:val="001F7FA4"/>
    <w:rsid w:val="0020024F"/>
    <w:rsid w:val="00200E52"/>
    <w:rsid w:val="002018B7"/>
    <w:rsid w:val="002022E7"/>
    <w:rsid w:val="00203708"/>
    <w:rsid w:val="00204109"/>
    <w:rsid w:val="00206F5F"/>
    <w:rsid w:val="0021082C"/>
    <w:rsid w:val="00210E9F"/>
    <w:rsid w:val="00213EE0"/>
    <w:rsid w:val="002142E3"/>
    <w:rsid w:val="00214A88"/>
    <w:rsid w:val="002150FC"/>
    <w:rsid w:val="002151AA"/>
    <w:rsid w:val="0021588F"/>
    <w:rsid w:val="00215DDD"/>
    <w:rsid w:val="00217A96"/>
    <w:rsid w:val="00217E3D"/>
    <w:rsid w:val="00220600"/>
    <w:rsid w:val="00220C9A"/>
    <w:rsid w:val="00221027"/>
    <w:rsid w:val="00221981"/>
    <w:rsid w:val="00222084"/>
    <w:rsid w:val="00222260"/>
    <w:rsid w:val="00223E83"/>
    <w:rsid w:val="00223EB9"/>
    <w:rsid w:val="00225352"/>
    <w:rsid w:val="002255CA"/>
    <w:rsid w:val="00225844"/>
    <w:rsid w:val="00227754"/>
    <w:rsid w:val="00227833"/>
    <w:rsid w:val="00227EA3"/>
    <w:rsid w:val="00230C7F"/>
    <w:rsid w:val="002311DE"/>
    <w:rsid w:val="00231599"/>
    <w:rsid w:val="00231790"/>
    <w:rsid w:val="00231C25"/>
    <w:rsid w:val="00232494"/>
    <w:rsid w:val="00234A70"/>
    <w:rsid w:val="0023500D"/>
    <w:rsid w:val="002360E5"/>
    <w:rsid w:val="00240E77"/>
    <w:rsid w:val="00240EFD"/>
    <w:rsid w:val="002413F1"/>
    <w:rsid w:val="0024420A"/>
    <w:rsid w:val="00245E2F"/>
    <w:rsid w:val="00245E45"/>
    <w:rsid w:val="00251C7B"/>
    <w:rsid w:val="002520C5"/>
    <w:rsid w:val="002527BC"/>
    <w:rsid w:val="00252F58"/>
    <w:rsid w:val="00253937"/>
    <w:rsid w:val="00253AB0"/>
    <w:rsid w:val="0025458D"/>
    <w:rsid w:val="00256F26"/>
    <w:rsid w:val="0025785D"/>
    <w:rsid w:val="00262F1B"/>
    <w:rsid w:val="00263351"/>
    <w:rsid w:val="00263E15"/>
    <w:rsid w:val="002664B1"/>
    <w:rsid w:val="00266A2C"/>
    <w:rsid w:val="00267BA3"/>
    <w:rsid w:val="00270F86"/>
    <w:rsid w:val="00271288"/>
    <w:rsid w:val="00271CED"/>
    <w:rsid w:val="00271E36"/>
    <w:rsid w:val="00272D22"/>
    <w:rsid w:val="002741E6"/>
    <w:rsid w:val="00276779"/>
    <w:rsid w:val="002774A6"/>
    <w:rsid w:val="00277BC7"/>
    <w:rsid w:val="00277C38"/>
    <w:rsid w:val="00284B3C"/>
    <w:rsid w:val="00284D9F"/>
    <w:rsid w:val="00285435"/>
    <w:rsid w:val="00286093"/>
    <w:rsid w:val="00286916"/>
    <w:rsid w:val="002871FB"/>
    <w:rsid w:val="00291F38"/>
    <w:rsid w:val="00292754"/>
    <w:rsid w:val="0029291C"/>
    <w:rsid w:val="00292B5C"/>
    <w:rsid w:val="0029584E"/>
    <w:rsid w:val="00297217"/>
    <w:rsid w:val="002A0F9B"/>
    <w:rsid w:val="002A1630"/>
    <w:rsid w:val="002A1BB4"/>
    <w:rsid w:val="002A1F9C"/>
    <w:rsid w:val="002A2D1C"/>
    <w:rsid w:val="002A2EA8"/>
    <w:rsid w:val="002A30B4"/>
    <w:rsid w:val="002A3C13"/>
    <w:rsid w:val="002A3F3B"/>
    <w:rsid w:val="002A44C6"/>
    <w:rsid w:val="002A50D2"/>
    <w:rsid w:val="002A5387"/>
    <w:rsid w:val="002A6ECB"/>
    <w:rsid w:val="002A7B1E"/>
    <w:rsid w:val="002A7FF4"/>
    <w:rsid w:val="002B03B8"/>
    <w:rsid w:val="002B19B0"/>
    <w:rsid w:val="002B2A7F"/>
    <w:rsid w:val="002B2E6A"/>
    <w:rsid w:val="002B5534"/>
    <w:rsid w:val="002B7303"/>
    <w:rsid w:val="002B7947"/>
    <w:rsid w:val="002B7D23"/>
    <w:rsid w:val="002B7D42"/>
    <w:rsid w:val="002C0390"/>
    <w:rsid w:val="002C0D92"/>
    <w:rsid w:val="002C1E04"/>
    <w:rsid w:val="002C373D"/>
    <w:rsid w:val="002C3866"/>
    <w:rsid w:val="002C5012"/>
    <w:rsid w:val="002C5839"/>
    <w:rsid w:val="002C6484"/>
    <w:rsid w:val="002C76FA"/>
    <w:rsid w:val="002D1B5E"/>
    <w:rsid w:val="002D1DCE"/>
    <w:rsid w:val="002D21B5"/>
    <w:rsid w:val="002D3661"/>
    <w:rsid w:val="002D3B09"/>
    <w:rsid w:val="002D5664"/>
    <w:rsid w:val="002D5D17"/>
    <w:rsid w:val="002D669E"/>
    <w:rsid w:val="002D6B56"/>
    <w:rsid w:val="002D6EFF"/>
    <w:rsid w:val="002E02DB"/>
    <w:rsid w:val="002E09DD"/>
    <w:rsid w:val="002E1605"/>
    <w:rsid w:val="002E1D5B"/>
    <w:rsid w:val="002E23BE"/>
    <w:rsid w:val="002E254E"/>
    <w:rsid w:val="002E2AF7"/>
    <w:rsid w:val="002E3C7D"/>
    <w:rsid w:val="002E5D2D"/>
    <w:rsid w:val="002E7522"/>
    <w:rsid w:val="002F3156"/>
    <w:rsid w:val="002F3C5D"/>
    <w:rsid w:val="002F4216"/>
    <w:rsid w:val="002F562B"/>
    <w:rsid w:val="002F607D"/>
    <w:rsid w:val="002F63B8"/>
    <w:rsid w:val="002F6AF9"/>
    <w:rsid w:val="002F6F20"/>
    <w:rsid w:val="00300843"/>
    <w:rsid w:val="0030123E"/>
    <w:rsid w:val="00301983"/>
    <w:rsid w:val="003028BE"/>
    <w:rsid w:val="003029E9"/>
    <w:rsid w:val="00302C3F"/>
    <w:rsid w:val="00302E9C"/>
    <w:rsid w:val="003039D9"/>
    <w:rsid w:val="00305557"/>
    <w:rsid w:val="00305591"/>
    <w:rsid w:val="0030640A"/>
    <w:rsid w:val="003065C9"/>
    <w:rsid w:val="003106F2"/>
    <w:rsid w:val="003107C6"/>
    <w:rsid w:val="00311177"/>
    <w:rsid w:val="00312998"/>
    <w:rsid w:val="003143D5"/>
    <w:rsid w:val="00314E84"/>
    <w:rsid w:val="00314EC1"/>
    <w:rsid w:val="00315500"/>
    <w:rsid w:val="00315BB3"/>
    <w:rsid w:val="00317B46"/>
    <w:rsid w:val="00317C01"/>
    <w:rsid w:val="0032030B"/>
    <w:rsid w:val="00320E5A"/>
    <w:rsid w:val="003231A1"/>
    <w:rsid w:val="0032463C"/>
    <w:rsid w:val="00327C6E"/>
    <w:rsid w:val="0033053E"/>
    <w:rsid w:val="0033115E"/>
    <w:rsid w:val="003313DF"/>
    <w:rsid w:val="00332B91"/>
    <w:rsid w:val="003336AF"/>
    <w:rsid w:val="00334018"/>
    <w:rsid w:val="003341FE"/>
    <w:rsid w:val="003376F3"/>
    <w:rsid w:val="00340F69"/>
    <w:rsid w:val="0034212D"/>
    <w:rsid w:val="003437FC"/>
    <w:rsid w:val="00344BB6"/>
    <w:rsid w:val="00344D44"/>
    <w:rsid w:val="00344FAA"/>
    <w:rsid w:val="00347DEA"/>
    <w:rsid w:val="003502C4"/>
    <w:rsid w:val="003511CF"/>
    <w:rsid w:val="00351578"/>
    <w:rsid w:val="0035159B"/>
    <w:rsid w:val="00352196"/>
    <w:rsid w:val="00352738"/>
    <w:rsid w:val="0035387A"/>
    <w:rsid w:val="00354310"/>
    <w:rsid w:val="00354377"/>
    <w:rsid w:val="003556D1"/>
    <w:rsid w:val="00356D5B"/>
    <w:rsid w:val="00360768"/>
    <w:rsid w:val="00360B9C"/>
    <w:rsid w:val="00360BDD"/>
    <w:rsid w:val="00361370"/>
    <w:rsid w:val="00362C38"/>
    <w:rsid w:val="0036314D"/>
    <w:rsid w:val="00365108"/>
    <w:rsid w:val="0036685A"/>
    <w:rsid w:val="00366D91"/>
    <w:rsid w:val="00366E80"/>
    <w:rsid w:val="003706DA"/>
    <w:rsid w:val="00370B61"/>
    <w:rsid w:val="00371436"/>
    <w:rsid w:val="00371C17"/>
    <w:rsid w:val="00371D1B"/>
    <w:rsid w:val="00371F4E"/>
    <w:rsid w:val="003742D5"/>
    <w:rsid w:val="00376063"/>
    <w:rsid w:val="0037664B"/>
    <w:rsid w:val="00376E99"/>
    <w:rsid w:val="00380E39"/>
    <w:rsid w:val="00380EFD"/>
    <w:rsid w:val="00381F0D"/>
    <w:rsid w:val="00383EC4"/>
    <w:rsid w:val="00384172"/>
    <w:rsid w:val="003859CC"/>
    <w:rsid w:val="00386916"/>
    <w:rsid w:val="00386987"/>
    <w:rsid w:val="00386EE5"/>
    <w:rsid w:val="003904E3"/>
    <w:rsid w:val="00390814"/>
    <w:rsid w:val="00391353"/>
    <w:rsid w:val="00391CED"/>
    <w:rsid w:val="00393D7F"/>
    <w:rsid w:val="00393FC8"/>
    <w:rsid w:val="00396D4F"/>
    <w:rsid w:val="00397AF3"/>
    <w:rsid w:val="003A009A"/>
    <w:rsid w:val="003A023C"/>
    <w:rsid w:val="003A0B5B"/>
    <w:rsid w:val="003A16CD"/>
    <w:rsid w:val="003A20A3"/>
    <w:rsid w:val="003A2D04"/>
    <w:rsid w:val="003A542B"/>
    <w:rsid w:val="003A58DE"/>
    <w:rsid w:val="003A6AA0"/>
    <w:rsid w:val="003A75E3"/>
    <w:rsid w:val="003A7A15"/>
    <w:rsid w:val="003B18CF"/>
    <w:rsid w:val="003B20CF"/>
    <w:rsid w:val="003B2AE5"/>
    <w:rsid w:val="003B37B8"/>
    <w:rsid w:val="003B3F56"/>
    <w:rsid w:val="003B688F"/>
    <w:rsid w:val="003B6F97"/>
    <w:rsid w:val="003B7FFB"/>
    <w:rsid w:val="003C0239"/>
    <w:rsid w:val="003C1D32"/>
    <w:rsid w:val="003C1F6C"/>
    <w:rsid w:val="003C2931"/>
    <w:rsid w:val="003C4C11"/>
    <w:rsid w:val="003C554C"/>
    <w:rsid w:val="003C5EC9"/>
    <w:rsid w:val="003C64C8"/>
    <w:rsid w:val="003C737D"/>
    <w:rsid w:val="003C7AD9"/>
    <w:rsid w:val="003C7B0D"/>
    <w:rsid w:val="003D04B3"/>
    <w:rsid w:val="003D0DCC"/>
    <w:rsid w:val="003D131C"/>
    <w:rsid w:val="003D1747"/>
    <w:rsid w:val="003D373A"/>
    <w:rsid w:val="003D3A07"/>
    <w:rsid w:val="003D3A45"/>
    <w:rsid w:val="003D451E"/>
    <w:rsid w:val="003D474C"/>
    <w:rsid w:val="003D51D7"/>
    <w:rsid w:val="003D5211"/>
    <w:rsid w:val="003D6368"/>
    <w:rsid w:val="003D6B91"/>
    <w:rsid w:val="003E0B7F"/>
    <w:rsid w:val="003E30C9"/>
    <w:rsid w:val="003E351E"/>
    <w:rsid w:val="003E502F"/>
    <w:rsid w:val="003E5298"/>
    <w:rsid w:val="003E5B27"/>
    <w:rsid w:val="003E5C79"/>
    <w:rsid w:val="003E7065"/>
    <w:rsid w:val="003E7D5C"/>
    <w:rsid w:val="003F1790"/>
    <w:rsid w:val="003F1848"/>
    <w:rsid w:val="003F2848"/>
    <w:rsid w:val="003F3198"/>
    <w:rsid w:val="003F32DD"/>
    <w:rsid w:val="003F3D69"/>
    <w:rsid w:val="003F4DFC"/>
    <w:rsid w:val="003F6548"/>
    <w:rsid w:val="003F6E4E"/>
    <w:rsid w:val="003F74E0"/>
    <w:rsid w:val="003F7C49"/>
    <w:rsid w:val="00400033"/>
    <w:rsid w:val="00400E1A"/>
    <w:rsid w:val="00401DCB"/>
    <w:rsid w:val="00403377"/>
    <w:rsid w:val="00403891"/>
    <w:rsid w:val="00404149"/>
    <w:rsid w:val="00404255"/>
    <w:rsid w:val="00404A0F"/>
    <w:rsid w:val="00404B50"/>
    <w:rsid w:val="0040685B"/>
    <w:rsid w:val="00406A83"/>
    <w:rsid w:val="00406B2C"/>
    <w:rsid w:val="004077A4"/>
    <w:rsid w:val="00410F5E"/>
    <w:rsid w:val="00411C93"/>
    <w:rsid w:val="00412540"/>
    <w:rsid w:val="00415419"/>
    <w:rsid w:val="00415A23"/>
    <w:rsid w:val="00416367"/>
    <w:rsid w:val="00417334"/>
    <w:rsid w:val="00420453"/>
    <w:rsid w:val="00421A45"/>
    <w:rsid w:val="004222CD"/>
    <w:rsid w:val="00424A10"/>
    <w:rsid w:val="00424A21"/>
    <w:rsid w:val="00424A48"/>
    <w:rsid w:val="00425E91"/>
    <w:rsid w:val="00426115"/>
    <w:rsid w:val="0042772C"/>
    <w:rsid w:val="00430DF0"/>
    <w:rsid w:val="00431A3C"/>
    <w:rsid w:val="00431E2E"/>
    <w:rsid w:val="004327CF"/>
    <w:rsid w:val="00432A21"/>
    <w:rsid w:val="00432AF1"/>
    <w:rsid w:val="00434ED5"/>
    <w:rsid w:val="0044138E"/>
    <w:rsid w:val="004420D6"/>
    <w:rsid w:val="0044237F"/>
    <w:rsid w:val="004428C7"/>
    <w:rsid w:val="00442CB8"/>
    <w:rsid w:val="00442EE3"/>
    <w:rsid w:val="004444B9"/>
    <w:rsid w:val="00444CA0"/>
    <w:rsid w:val="00445877"/>
    <w:rsid w:val="00445E5F"/>
    <w:rsid w:val="00446062"/>
    <w:rsid w:val="00447BF7"/>
    <w:rsid w:val="00451701"/>
    <w:rsid w:val="00451E2B"/>
    <w:rsid w:val="004522EE"/>
    <w:rsid w:val="00452AEF"/>
    <w:rsid w:val="004533AA"/>
    <w:rsid w:val="00453ABB"/>
    <w:rsid w:val="00453E15"/>
    <w:rsid w:val="0045403C"/>
    <w:rsid w:val="0045436F"/>
    <w:rsid w:val="00454A19"/>
    <w:rsid w:val="00454C8C"/>
    <w:rsid w:val="00455615"/>
    <w:rsid w:val="00455B2C"/>
    <w:rsid w:val="004606EA"/>
    <w:rsid w:val="0046072A"/>
    <w:rsid w:val="004619A9"/>
    <w:rsid w:val="00465E8B"/>
    <w:rsid w:val="00466F71"/>
    <w:rsid w:val="0046759D"/>
    <w:rsid w:val="00467C31"/>
    <w:rsid w:val="004705BA"/>
    <w:rsid w:val="00470CEC"/>
    <w:rsid w:val="00471E72"/>
    <w:rsid w:val="00472369"/>
    <w:rsid w:val="00472635"/>
    <w:rsid w:val="00475C66"/>
    <w:rsid w:val="0047699E"/>
    <w:rsid w:val="00481A53"/>
    <w:rsid w:val="00481A79"/>
    <w:rsid w:val="00481BC8"/>
    <w:rsid w:val="00481D06"/>
    <w:rsid w:val="00482080"/>
    <w:rsid w:val="00484C2F"/>
    <w:rsid w:val="004858B6"/>
    <w:rsid w:val="004868B4"/>
    <w:rsid w:val="00486EF0"/>
    <w:rsid w:val="0048792B"/>
    <w:rsid w:val="00490232"/>
    <w:rsid w:val="004902F3"/>
    <w:rsid w:val="00490CAC"/>
    <w:rsid w:val="00491C53"/>
    <w:rsid w:val="00491C7C"/>
    <w:rsid w:val="00492059"/>
    <w:rsid w:val="004922C1"/>
    <w:rsid w:val="00492441"/>
    <w:rsid w:val="00492A27"/>
    <w:rsid w:val="0049451A"/>
    <w:rsid w:val="0049610B"/>
    <w:rsid w:val="00496B07"/>
    <w:rsid w:val="004A00BE"/>
    <w:rsid w:val="004A0108"/>
    <w:rsid w:val="004A02BB"/>
    <w:rsid w:val="004A114F"/>
    <w:rsid w:val="004A2585"/>
    <w:rsid w:val="004A28E3"/>
    <w:rsid w:val="004A34C8"/>
    <w:rsid w:val="004A3E77"/>
    <w:rsid w:val="004A5AB5"/>
    <w:rsid w:val="004A63E9"/>
    <w:rsid w:val="004A6D46"/>
    <w:rsid w:val="004B12F8"/>
    <w:rsid w:val="004B166A"/>
    <w:rsid w:val="004B1EE3"/>
    <w:rsid w:val="004B2BC7"/>
    <w:rsid w:val="004B2CA7"/>
    <w:rsid w:val="004B3BAB"/>
    <w:rsid w:val="004B4B89"/>
    <w:rsid w:val="004C00EC"/>
    <w:rsid w:val="004C0EEE"/>
    <w:rsid w:val="004C1272"/>
    <w:rsid w:val="004C1FC1"/>
    <w:rsid w:val="004C239B"/>
    <w:rsid w:val="004C2D5C"/>
    <w:rsid w:val="004C359C"/>
    <w:rsid w:val="004C3A6C"/>
    <w:rsid w:val="004C6E60"/>
    <w:rsid w:val="004C74B3"/>
    <w:rsid w:val="004D00FE"/>
    <w:rsid w:val="004D1977"/>
    <w:rsid w:val="004D2932"/>
    <w:rsid w:val="004D3789"/>
    <w:rsid w:val="004D3BE7"/>
    <w:rsid w:val="004D4952"/>
    <w:rsid w:val="004D49D0"/>
    <w:rsid w:val="004D4A45"/>
    <w:rsid w:val="004D558D"/>
    <w:rsid w:val="004D6200"/>
    <w:rsid w:val="004D779B"/>
    <w:rsid w:val="004E0AA1"/>
    <w:rsid w:val="004E19FE"/>
    <w:rsid w:val="004E290C"/>
    <w:rsid w:val="004E415F"/>
    <w:rsid w:val="004E4459"/>
    <w:rsid w:val="004E4A3C"/>
    <w:rsid w:val="004E4CAD"/>
    <w:rsid w:val="004E7385"/>
    <w:rsid w:val="004F02FA"/>
    <w:rsid w:val="004F086A"/>
    <w:rsid w:val="004F7473"/>
    <w:rsid w:val="004F74DB"/>
    <w:rsid w:val="005007A8"/>
    <w:rsid w:val="00500BDC"/>
    <w:rsid w:val="0050182E"/>
    <w:rsid w:val="00503576"/>
    <w:rsid w:val="00504BC0"/>
    <w:rsid w:val="00505A78"/>
    <w:rsid w:val="00505A96"/>
    <w:rsid w:val="00505B24"/>
    <w:rsid w:val="00507E44"/>
    <w:rsid w:val="0051017A"/>
    <w:rsid w:val="00510CD5"/>
    <w:rsid w:val="005110C7"/>
    <w:rsid w:val="0051303D"/>
    <w:rsid w:val="0051328E"/>
    <w:rsid w:val="00514456"/>
    <w:rsid w:val="00514688"/>
    <w:rsid w:val="00515224"/>
    <w:rsid w:val="00515CA4"/>
    <w:rsid w:val="00521CAA"/>
    <w:rsid w:val="00524C14"/>
    <w:rsid w:val="0052682E"/>
    <w:rsid w:val="00526CFA"/>
    <w:rsid w:val="005309EC"/>
    <w:rsid w:val="00532410"/>
    <w:rsid w:val="005328DF"/>
    <w:rsid w:val="00533CD0"/>
    <w:rsid w:val="00534523"/>
    <w:rsid w:val="0053479C"/>
    <w:rsid w:val="0053500B"/>
    <w:rsid w:val="00535026"/>
    <w:rsid w:val="00535A3C"/>
    <w:rsid w:val="00536EEA"/>
    <w:rsid w:val="0053711D"/>
    <w:rsid w:val="005408FD"/>
    <w:rsid w:val="005430E6"/>
    <w:rsid w:val="00543FE3"/>
    <w:rsid w:val="0054531E"/>
    <w:rsid w:val="00546A47"/>
    <w:rsid w:val="0054775E"/>
    <w:rsid w:val="00547ADB"/>
    <w:rsid w:val="00550B5E"/>
    <w:rsid w:val="00551839"/>
    <w:rsid w:val="00551C8B"/>
    <w:rsid w:val="00551D36"/>
    <w:rsid w:val="005535A6"/>
    <w:rsid w:val="005554EA"/>
    <w:rsid w:val="005559BB"/>
    <w:rsid w:val="005563EA"/>
    <w:rsid w:val="0055672F"/>
    <w:rsid w:val="00557660"/>
    <w:rsid w:val="00557C58"/>
    <w:rsid w:val="00557FE5"/>
    <w:rsid w:val="00560CB6"/>
    <w:rsid w:val="005620CE"/>
    <w:rsid w:val="005621FE"/>
    <w:rsid w:val="005627FF"/>
    <w:rsid w:val="00562EF2"/>
    <w:rsid w:val="00563729"/>
    <w:rsid w:val="00563861"/>
    <w:rsid w:val="005640A6"/>
    <w:rsid w:val="00564167"/>
    <w:rsid w:val="00565F10"/>
    <w:rsid w:val="00566FF7"/>
    <w:rsid w:val="0056734B"/>
    <w:rsid w:val="00570650"/>
    <w:rsid w:val="0057072E"/>
    <w:rsid w:val="00570E2D"/>
    <w:rsid w:val="00570ED7"/>
    <w:rsid w:val="005718E7"/>
    <w:rsid w:val="00571E93"/>
    <w:rsid w:val="00573165"/>
    <w:rsid w:val="0057392F"/>
    <w:rsid w:val="00573A89"/>
    <w:rsid w:val="00573F4F"/>
    <w:rsid w:val="00575AA3"/>
    <w:rsid w:val="00576DA2"/>
    <w:rsid w:val="00577CEC"/>
    <w:rsid w:val="005809B3"/>
    <w:rsid w:val="00580EFA"/>
    <w:rsid w:val="005826C8"/>
    <w:rsid w:val="005838D9"/>
    <w:rsid w:val="00585CB0"/>
    <w:rsid w:val="00586ACC"/>
    <w:rsid w:val="00591717"/>
    <w:rsid w:val="00591DD2"/>
    <w:rsid w:val="0059368F"/>
    <w:rsid w:val="00594339"/>
    <w:rsid w:val="005943A9"/>
    <w:rsid w:val="005943FE"/>
    <w:rsid w:val="00594847"/>
    <w:rsid w:val="00596B48"/>
    <w:rsid w:val="00596E72"/>
    <w:rsid w:val="00597F58"/>
    <w:rsid w:val="005A0E2D"/>
    <w:rsid w:val="005A1424"/>
    <w:rsid w:val="005A1920"/>
    <w:rsid w:val="005A25CB"/>
    <w:rsid w:val="005A27AA"/>
    <w:rsid w:val="005A2A9D"/>
    <w:rsid w:val="005A2B9D"/>
    <w:rsid w:val="005A31EB"/>
    <w:rsid w:val="005A38FC"/>
    <w:rsid w:val="005A3A6D"/>
    <w:rsid w:val="005A4198"/>
    <w:rsid w:val="005A4BF7"/>
    <w:rsid w:val="005A5433"/>
    <w:rsid w:val="005A6B40"/>
    <w:rsid w:val="005B090B"/>
    <w:rsid w:val="005B0C71"/>
    <w:rsid w:val="005B0DC1"/>
    <w:rsid w:val="005B406A"/>
    <w:rsid w:val="005B47C4"/>
    <w:rsid w:val="005B5434"/>
    <w:rsid w:val="005B5A03"/>
    <w:rsid w:val="005B72AE"/>
    <w:rsid w:val="005B7823"/>
    <w:rsid w:val="005C0A95"/>
    <w:rsid w:val="005C1696"/>
    <w:rsid w:val="005C2E1C"/>
    <w:rsid w:val="005C3648"/>
    <w:rsid w:val="005C4416"/>
    <w:rsid w:val="005C46D6"/>
    <w:rsid w:val="005C6932"/>
    <w:rsid w:val="005D0058"/>
    <w:rsid w:val="005D0E9A"/>
    <w:rsid w:val="005D393E"/>
    <w:rsid w:val="005D5C27"/>
    <w:rsid w:val="005D65B9"/>
    <w:rsid w:val="005D7A8F"/>
    <w:rsid w:val="005E03CB"/>
    <w:rsid w:val="005E04F2"/>
    <w:rsid w:val="005E0656"/>
    <w:rsid w:val="005E14E5"/>
    <w:rsid w:val="005E3004"/>
    <w:rsid w:val="005E33DB"/>
    <w:rsid w:val="005E620B"/>
    <w:rsid w:val="005E6A95"/>
    <w:rsid w:val="005E7003"/>
    <w:rsid w:val="005E7876"/>
    <w:rsid w:val="005E7D32"/>
    <w:rsid w:val="005F034E"/>
    <w:rsid w:val="005F18B4"/>
    <w:rsid w:val="005F1DAD"/>
    <w:rsid w:val="005F3C70"/>
    <w:rsid w:val="005F408B"/>
    <w:rsid w:val="005F4E42"/>
    <w:rsid w:val="005F615B"/>
    <w:rsid w:val="0060146C"/>
    <w:rsid w:val="0060165D"/>
    <w:rsid w:val="0060200B"/>
    <w:rsid w:val="006037F7"/>
    <w:rsid w:val="006039EB"/>
    <w:rsid w:val="0060418F"/>
    <w:rsid w:val="00604998"/>
    <w:rsid w:val="006050CC"/>
    <w:rsid w:val="00606384"/>
    <w:rsid w:val="00606D16"/>
    <w:rsid w:val="00606ECB"/>
    <w:rsid w:val="006079E7"/>
    <w:rsid w:val="00610B4B"/>
    <w:rsid w:val="00613AA0"/>
    <w:rsid w:val="00614046"/>
    <w:rsid w:val="006158A5"/>
    <w:rsid w:val="00615F08"/>
    <w:rsid w:val="006162BC"/>
    <w:rsid w:val="00617FAE"/>
    <w:rsid w:val="00621AD0"/>
    <w:rsid w:val="00621CFC"/>
    <w:rsid w:val="006228CB"/>
    <w:rsid w:val="00624BF8"/>
    <w:rsid w:val="006259C5"/>
    <w:rsid w:val="00625E1A"/>
    <w:rsid w:val="006260AF"/>
    <w:rsid w:val="00626C5E"/>
    <w:rsid w:val="00626CB5"/>
    <w:rsid w:val="006275E2"/>
    <w:rsid w:val="00633F89"/>
    <w:rsid w:val="0063488B"/>
    <w:rsid w:val="0063550F"/>
    <w:rsid w:val="006356D8"/>
    <w:rsid w:val="006402C6"/>
    <w:rsid w:val="00640931"/>
    <w:rsid w:val="00641902"/>
    <w:rsid w:val="006427B8"/>
    <w:rsid w:val="0064335C"/>
    <w:rsid w:val="00643373"/>
    <w:rsid w:val="006449C3"/>
    <w:rsid w:val="00645EF4"/>
    <w:rsid w:val="006470EF"/>
    <w:rsid w:val="00650C9D"/>
    <w:rsid w:val="0065310B"/>
    <w:rsid w:val="00653B9C"/>
    <w:rsid w:val="00653CA9"/>
    <w:rsid w:val="00653E6C"/>
    <w:rsid w:val="0065579F"/>
    <w:rsid w:val="006564B2"/>
    <w:rsid w:val="00657BB9"/>
    <w:rsid w:val="006607C2"/>
    <w:rsid w:val="00661823"/>
    <w:rsid w:val="006627BB"/>
    <w:rsid w:val="006627DB"/>
    <w:rsid w:val="00662DBD"/>
    <w:rsid w:val="00663C54"/>
    <w:rsid w:val="00664A63"/>
    <w:rsid w:val="006655E1"/>
    <w:rsid w:val="0066699C"/>
    <w:rsid w:val="00670BC5"/>
    <w:rsid w:val="0067155F"/>
    <w:rsid w:val="00671566"/>
    <w:rsid w:val="006731A2"/>
    <w:rsid w:val="00673367"/>
    <w:rsid w:val="00673451"/>
    <w:rsid w:val="006746BE"/>
    <w:rsid w:val="006746E9"/>
    <w:rsid w:val="00674BC2"/>
    <w:rsid w:val="006751DC"/>
    <w:rsid w:val="00675F16"/>
    <w:rsid w:val="0067732F"/>
    <w:rsid w:val="00677D86"/>
    <w:rsid w:val="0068262A"/>
    <w:rsid w:val="00682F75"/>
    <w:rsid w:val="00684968"/>
    <w:rsid w:val="0068509D"/>
    <w:rsid w:val="00685FBF"/>
    <w:rsid w:val="00686136"/>
    <w:rsid w:val="006900A3"/>
    <w:rsid w:val="006927F2"/>
    <w:rsid w:val="006928A8"/>
    <w:rsid w:val="00692D1B"/>
    <w:rsid w:val="00693A77"/>
    <w:rsid w:val="00694197"/>
    <w:rsid w:val="00694F9A"/>
    <w:rsid w:val="00695412"/>
    <w:rsid w:val="006955DE"/>
    <w:rsid w:val="00695924"/>
    <w:rsid w:val="00696C71"/>
    <w:rsid w:val="006A05CE"/>
    <w:rsid w:val="006A0891"/>
    <w:rsid w:val="006A2DD5"/>
    <w:rsid w:val="006A386B"/>
    <w:rsid w:val="006A5995"/>
    <w:rsid w:val="006A59CD"/>
    <w:rsid w:val="006A6260"/>
    <w:rsid w:val="006B15B1"/>
    <w:rsid w:val="006B4197"/>
    <w:rsid w:val="006B4276"/>
    <w:rsid w:val="006B5837"/>
    <w:rsid w:val="006B642B"/>
    <w:rsid w:val="006B67AA"/>
    <w:rsid w:val="006B7282"/>
    <w:rsid w:val="006B77B6"/>
    <w:rsid w:val="006C01AE"/>
    <w:rsid w:val="006C07D1"/>
    <w:rsid w:val="006C1173"/>
    <w:rsid w:val="006C12B5"/>
    <w:rsid w:val="006C1783"/>
    <w:rsid w:val="006C3C83"/>
    <w:rsid w:val="006C401A"/>
    <w:rsid w:val="006C4273"/>
    <w:rsid w:val="006C516C"/>
    <w:rsid w:val="006C51AB"/>
    <w:rsid w:val="006C531A"/>
    <w:rsid w:val="006C531E"/>
    <w:rsid w:val="006C5693"/>
    <w:rsid w:val="006C6CAD"/>
    <w:rsid w:val="006C6D0A"/>
    <w:rsid w:val="006C7D83"/>
    <w:rsid w:val="006C7DAE"/>
    <w:rsid w:val="006C7DF4"/>
    <w:rsid w:val="006D053B"/>
    <w:rsid w:val="006D1433"/>
    <w:rsid w:val="006D220C"/>
    <w:rsid w:val="006D2616"/>
    <w:rsid w:val="006D34BD"/>
    <w:rsid w:val="006D46F0"/>
    <w:rsid w:val="006D4B57"/>
    <w:rsid w:val="006D5686"/>
    <w:rsid w:val="006D6DD6"/>
    <w:rsid w:val="006D6E27"/>
    <w:rsid w:val="006E1B6C"/>
    <w:rsid w:val="006E3E0C"/>
    <w:rsid w:val="006E4193"/>
    <w:rsid w:val="006E497D"/>
    <w:rsid w:val="006E51BE"/>
    <w:rsid w:val="006E5E8B"/>
    <w:rsid w:val="006E7E53"/>
    <w:rsid w:val="006F0155"/>
    <w:rsid w:val="006F08D3"/>
    <w:rsid w:val="006F1B73"/>
    <w:rsid w:val="006F3620"/>
    <w:rsid w:val="006F3990"/>
    <w:rsid w:val="006F4A02"/>
    <w:rsid w:val="006F55C2"/>
    <w:rsid w:val="006F5A76"/>
    <w:rsid w:val="006F67AB"/>
    <w:rsid w:val="006F6D62"/>
    <w:rsid w:val="006F773B"/>
    <w:rsid w:val="006F7AFF"/>
    <w:rsid w:val="00701020"/>
    <w:rsid w:val="00701F51"/>
    <w:rsid w:val="00702837"/>
    <w:rsid w:val="007042E3"/>
    <w:rsid w:val="00704A26"/>
    <w:rsid w:val="00704D7A"/>
    <w:rsid w:val="00704EF5"/>
    <w:rsid w:val="00705605"/>
    <w:rsid w:val="007056EE"/>
    <w:rsid w:val="00705A67"/>
    <w:rsid w:val="0071017D"/>
    <w:rsid w:val="00711AB7"/>
    <w:rsid w:val="00712529"/>
    <w:rsid w:val="00712E90"/>
    <w:rsid w:val="0071369A"/>
    <w:rsid w:val="007150B4"/>
    <w:rsid w:val="007169E0"/>
    <w:rsid w:val="007207D4"/>
    <w:rsid w:val="00721209"/>
    <w:rsid w:val="0072169E"/>
    <w:rsid w:val="00724CB9"/>
    <w:rsid w:val="0072579E"/>
    <w:rsid w:val="00726152"/>
    <w:rsid w:val="00727A1F"/>
    <w:rsid w:val="00727CDF"/>
    <w:rsid w:val="00727E89"/>
    <w:rsid w:val="00730054"/>
    <w:rsid w:val="007313FB"/>
    <w:rsid w:val="007318CD"/>
    <w:rsid w:val="00731DE8"/>
    <w:rsid w:val="00733635"/>
    <w:rsid w:val="0073434A"/>
    <w:rsid w:val="0074095D"/>
    <w:rsid w:val="00741145"/>
    <w:rsid w:val="00741DE2"/>
    <w:rsid w:val="00741F37"/>
    <w:rsid w:val="0074303A"/>
    <w:rsid w:val="00745187"/>
    <w:rsid w:val="007454B2"/>
    <w:rsid w:val="007468B3"/>
    <w:rsid w:val="007470C9"/>
    <w:rsid w:val="00754647"/>
    <w:rsid w:val="00755427"/>
    <w:rsid w:val="00756A47"/>
    <w:rsid w:val="00756C16"/>
    <w:rsid w:val="0075746D"/>
    <w:rsid w:val="00761376"/>
    <w:rsid w:val="007616E7"/>
    <w:rsid w:val="00761CDF"/>
    <w:rsid w:val="00763358"/>
    <w:rsid w:val="007636DF"/>
    <w:rsid w:val="00763DB6"/>
    <w:rsid w:val="00764F53"/>
    <w:rsid w:val="007655AA"/>
    <w:rsid w:val="007658BD"/>
    <w:rsid w:val="00765A44"/>
    <w:rsid w:val="007665F0"/>
    <w:rsid w:val="00767ED2"/>
    <w:rsid w:val="007706DB"/>
    <w:rsid w:val="007708FB"/>
    <w:rsid w:val="00770980"/>
    <w:rsid w:val="00770C47"/>
    <w:rsid w:val="00773524"/>
    <w:rsid w:val="00774D5B"/>
    <w:rsid w:val="007752F0"/>
    <w:rsid w:val="0077579F"/>
    <w:rsid w:val="00775824"/>
    <w:rsid w:val="007758D4"/>
    <w:rsid w:val="00777D68"/>
    <w:rsid w:val="007802E4"/>
    <w:rsid w:val="0078090F"/>
    <w:rsid w:val="00782123"/>
    <w:rsid w:val="00782750"/>
    <w:rsid w:val="0078449B"/>
    <w:rsid w:val="00785B9B"/>
    <w:rsid w:val="00787E33"/>
    <w:rsid w:val="00791531"/>
    <w:rsid w:val="00792881"/>
    <w:rsid w:val="0079324F"/>
    <w:rsid w:val="00794D21"/>
    <w:rsid w:val="00796000"/>
    <w:rsid w:val="007970E8"/>
    <w:rsid w:val="007A0936"/>
    <w:rsid w:val="007A1388"/>
    <w:rsid w:val="007A1D6A"/>
    <w:rsid w:val="007A2188"/>
    <w:rsid w:val="007A2647"/>
    <w:rsid w:val="007A399E"/>
    <w:rsid w:val="007A49B3"/>
    <w:rsid w:val="007A5987"/>
    <w:rsid w:val="007B106A"/>
    <w:rsid w:val="007B15EB"/>
    <w:rsid w:val="007B3101"/>
    <w:rsid w:val="007B4939"/>
    <w:rsid w:val="007B4A92"/>
    <w:rsid w:val="007C24ED"/>
    <w:rsid w:val="007C29D6"/>
    <w:rsid w:val="007C2D73"/>
    <w:rsid w:val="007C4876"/>
    <w:rsid w:val="007C4DC3"/>
    <w:rsid w:val="007C7F3F"/>
    <w:rsid w:val="007D1506"/>
    <w:rsid w:val="007D3535"/>
    <w:rsid w:val="007D65CC"/>
    <w:rsid w:val="007D7328"/>
    <w:rsid w:val="007E0AE7"/>
    <w:rsid w:val="007E2126"/>
    <w:rsid w:val="007E2598"/>
    <w:rsid w:val="007E2AA7"/>
    <w:rsid w:val="007E30D1"/>
    <w:rsid w:val="007E4458"/>
    <w:rsid w:val="007E445E"/>
    <w:rsid w:val="007E517F"/>
    <w:rsid w:val="007E545C"/>
    <w:rsid w:val="007E56F1"/>
    <w:rsid w:val="007E5BDE"/>
    <w:rsid w:val="007E606C"/>
    <w:rsid w:val="007E748B"/>
    <w:rsid w:val="007E7555"/>
    <w:rsid w:val="007E782C"/>
    <w:rsid w:val="007E7A54"/>
    <w:rsid w:val="007E7A70"/>
    <w:rsid w:val="007E7FF4"/>
    <w:rsid w:val="007F0867"/>
    <w:rsid w:val="007F0CCD"/>
    <w:rsid w:val="007F2608"/>
    <w:rsid w:val="007F39F7"/>
    <w:rsid w:val="007F3EFB"/>
    <w:rsid w:val="007F6387"/>
    <w:rsid w:val="007F6F86"/>
    <w:rsid w:val="007F7662"/>
    <w:rsid w:val="007F777C"/>
    <w:rsid w:val="00800486"/>
    <w:rsid w:val="00800549"/>
    <w:rsid w:val="0080126D"/>
    <w:rsid w:val="00803D45"/>
    <w:rsid w:val="008045EF"/>
    <w:rsid w:val="0080490C"/>
    <w:rsid w:val="00806106"/>
    <w:rsid w:val="008062FE"/>
    <w:rsid w:val="008068F9"/>
    <w:rsid w:val="00807A74"/>
    <w:rsid w:val="00810255"/>
    <w:rsid w:val="008103ED"/>
    <w:rsid w:val="0081372B"/>
    <w:rsid w:val="0081373E"/>
    <w:rsid w:val="00813EF0"/>
    <w:rsid w:val="008156BD"/>
    <w:rsid w:val="008161B7"/>
    <w:rsid w:val="00816360"/>
    <w:rsid w:val="008204E5"/>
    <w:rsid w:val="00823A36"/>
    <w:rsid w:val="008307CA"/>
    <w:rsid w:val="0083314F"/>
    <w:rsid w:val="00834F00"/>
    <w:rsid w:val="0083545A"/>
    <w:rsid w:val="00840B46"/>
    <w:rsid w:val="00841375"/>
    <w:rsid w:val="008424AA"/>
    <w:rsid w:val="0084411C"/>
    <w:rsid w:val="00847136"/>
    <w:rsid w:val="0084770C"/>
    <w:rsid w:val="00847866"/>
    <w:rsid w:val="008503CA"/>
    <w:rsid w:val="0085053B"/>
    <w:rsid w:val="00851325"/>
    <w:rsid w:val="00851EB9"/>
    <w:rsid w:val="00852A11"/>
    <w:rsid w:val="00853008"/>
    <w:rsid w:val="0085384A"/>
    <w:rsid w:val="00854F75"/>
    <w:rsid w:val="008556D6"/>
    <w:rsid w:val="008561E7"/>
    <w:rsid w:val="00857784"/>
    <w:rsid w:val="0086075A"/>
    <w:rsid w:val="00860813"/>
    <w:rsid w:val="00860E2C"/>
    <w:rsid w:val="008635A9"/>
    <w:rsid w:val="008646A6"/>
    <w:rsid w:val="008655ED"/>
    <w:rsid w:val="00867EA7"/>
    <w:rsid w:val="008712E4"/>
    <w:rsid w:val="00871DA9"/>
    <w:rsid w:val="0087458C"/>
    <w:rsid w:val="00874CCD"/>
    <w:rsid w:val="008760AE"/>
    <w:rsid w:val="00876343"/>
    <w:rsid w:val="008769EB"/>
    <w:rsid w:val="0087766D"/>
    <w:rsid w:val="00880915"/>
    <w:rsid w:val="00880E15"/>
    <w:rsid w:val="00881BC3"/>
    <w:rsid w:val="00882555"/>
    <w:rsid w:val="00882787"/>
    <w:rsid w:val="00884C20"/>
    <w:rsid w:val="00884C84"/>
    <w:rsid w:val="00884D73"/>
    <w:rsid w:val="0088569A"/>
    <w:rsid w:val="00885DDF"/>
    <w:rsid w:val="0088688F"/>
    <w:rsid w:val="00891DAF"/>
    <w:rsid w:val="00891E38"/>
    <w:rsid w:val="00893118"/>
    <w:rsid w:val="00893308"/>
    <w:rsid w:val="008950A0"/>
    <w:rsid w:val="00895EBE"/>
    <w:rsid w:val="008960C0"/>
    <w:rsid w:val="008A0F74"/>
    <w:rsid w:val="008A49EF"/>
    <w:rsid w:val="008A4B99"/>
    <w:rsid w:val="008A66E4"/>
    <w:rsid w:val="008A730A"/>
    <w:rsid w:val="008A7EA2"/>
    <w:rsid w:val="008B062F"/>
    <w:rsid w:val="008B15B4"/>
    <w:rsid w:val="008B39BD"/>
    <w:rsid w:val="008B6358"/>
    <w:rsid w:val="008B661F"/>
    <w:rsid w:val="008C1863"/>
    <w:rsid w:val="008C1EFD"/>
    <w:rsid w:val="008C2B4A"/>
    <w:rsid w:val="008C382D"/>
    <w:rsid w:val="008C40E8"/>
    <w:rsid w:val="008C54FB"/>
    <w:rsid w:val="008C566C"/>
    <w:rsid w:val="008C6713"/>
    <w:rsid w:val="008C7AB4"/>
    <w:rsid w:val="008D0028"/>
    <w:rsid w:val="008D029E"/>
    <w:rsid w:val="008D12D8"/>
    <w:rsid w:val="008D2F4E"/>
    <w:rsid w:val="008D368C"/>
    <w:rsid w:val="008D4ED7"/>
    <w:rsid w:val="008D4F55"/>
    <w:rsid w:val="008D5663"/>
    <w:rsid w:val="008D5C0E"/>
    <w:rsid w:val="008D668D"/>
    <w:rsid w:val="008E0812"/>
    <w:rsid w:val="008E20DD"/>
    <w:rsid w:val="008E2146"/>
    <w:rsid w:val="008E2D9A"/>
    <w:rsid w:val="008E300D"/>
    <w:rsid w:val="008E30A5"/>
    <w:rsid w:val="008E590A"/>
    <w:rsid w:val="008E5957"/>
    <w:rsid w:val="008E5DF1"/>
    <w:rsid w:val="008E5F1A"/>
    <w:rsid w:val="008E6595"/>
    <w:rsid w:val="008E6F86"/>
    <w:rsid w:val="008E7065"/>
    <w:rsid w:val="008E77A1"/>
    <w:rsid w:val="008F036E"/>
    <w:rsid w:val="008F09E2"/>
    <w:rsid w:val="008F17F4"/>
    <w:rsid w:val="008F3C8D"/>
    <w:rsid w:val="008F3CED"/>
    <w:rsid w:val="008F427A"/>
    <w:rsid w:val="008F4615"/>
    <w:rsid w:val="008F4AEB"/>
    <w:rsid w:val="008F50DA"/>
    <w:rsid w:val="008F5D3A"/>
    <w:rsid w:val="008F5EB8"/>
    <w:rsid w:val="008F6B76"/>
    <w:rsid w:val="008F727E"/>
    <w:rsid w:val="008F78E7"/>
    <w:rsid w:val="0090042F"/>
    <w:rsid w:val="009004DE"/>
    <w:rsid w:val="00900CBD"/>
    <w:rsid w:val="00900D0A"/>
    <w:rsid w:val="009011BB"/>
    <w:rsid w:val="00902BB9"/>
    <w:rsid w:val="00902E26"/>
    <w:rsid w:val="00903C5E"/>
    <w:rsid w:val="00905131"/>
    <w:rsid w:val="00911AE1"/>
    <w:rsid w:val="009121B0"/>
    <w:rsid w:val="009128B2"/>
    <w:rsid w:val="00912A8B"/>
    <w:rsid w:val="009200D1"/>
    <w:rsid w:val="009217F6"/>
    <w:rsid w:val="00921F0E"/>
    <w:rsid w:val="009230CC"/>
    <w:rsid w:val="009235A4"/>
    <w:rsid w:val="009236D7"/>
    <w:rsid w:val="00923F11"/>
    <w:rsid w:val="009256C4"/>
    <w:rsid w:val="00925F79"/>
    <w:rsid w:val="00926C07"/>
    <w:rsid w:val="00930278"/>
    <w:rsid w:val="00930376"/>
    <w:rsid w:val="00930AA9"/>
    <w:rsid w:val="00930B8E"/>
    <w:rsid w:val="00931107"/>
    <w:rsid w:val="00934419"/>
    <w:rsid w:val="00934FD8"/>
    <w:rsid w:val="00935BBA"/>
    <w:rsid w:val="00936E8B"/>
    <w:rsid w:val="0094094D"/>
    <w:rsid w:val="00942086"/>
    <w:rsid w:val="00945398"/>
    <w:rsid w:val="00947E2C"/>
    <w:rsid w:val="0095059D"/>
    <w:rsid w:val="00951A44"/>
    <w:rsid w:val="00951CD6"/>
    <w:rsid w:val="0095287B"/>
    <w:rsid w:val="00952F3E"/>
    <w:rsid w:val="00953810"/>
    <w:rsid w:val="00953DE0"/>
    <w:rsid w:val="009541C4"/>
    <w:rsid w:val="009542AD"/>
    <w:rsid w:val="00954647"/>
    <w:rsid w:val="00954CE5"/>
    <w:rsid w:val="00955942"/>
    <w:rsid w:val="00955B37"/>
    <w:rsid w:val="00956871"/>
    <w:rsid w:val="009606E3"/>
    <w:rsid w:val="009615E7"/>
    <w:rsid w:val="0096308E"/>
    <w:rsid w:val="00964B83"/>
    <w:rsid w:val="00964D97"/>
    <w:rsid w:val="00965429"/>
    <w:rsid w:val="00965F43"/>
    <w:rsid w:val="009677F1"/>
    <w:rsid w:val="00967C45"/>
    <w:rsid w:val="00967E84"/>
    <w:rsid w:val="009713F6"/>
    <w:rsid w:val="00971475"/>
    <w:rsid w:val="00971698"/>
    <w:rsid w:val="009733B9"/>
    <w:rsid w:val="0097371A"/>
    <w:rsid w:val="00975F8C"/>
    <w:rsid w:val="00976EF9"/>
    <w:rsid w:val="009777D1"/>
    <w:rsid w:val="009778C3"/>
    <w:rsid w:val="00977B4B"/>
    <w:rsid w:val="0098035D"/>
    <w:rsid w:val="009811FC"/>
    <w:rsid w:val="009813A9"/>
    <w:rsid w:val="009818FC"/>
    <w:rsid w:val="00981D6A"/>
    <w:rsid w:val="00983DF4"/>
    <w:rsid w:val="00983E59"/>
    <w:rsid w:val="0098766B"/>
    <w:rsid w:val="00987B53"/>
    <w:rsid w:val="00987D15"/>
    <w:rsid w:val="009900E3"/>
    <w:rsid w:val="009915B2"/>
    <w:rsid w:val="0099239F"/>
    <w:rsid w:val="009928C5"/>
    <w:rsid w:val="00992921"/>
    <w:rsid w:val="0099342B"/>
    <w:rsid w:val="009947C3"/>
    <w:rsid w:val="009958A7"/>
    <w:rsid w:val="00995C06"/>
    <w:rsid w:val="00995F35"/>
    <w:rsid w:val="00996546"/>
    <w:rsid w:val="00996732"/>
    <w:rsid w:val="009A0396"/>
    <w:rsid w:val="009A074B"/>
    <w:rsid w:val="009A10E1"/>
    <w:rsid w:val="009A2536"/>
    <w:rsid w:val="009A28B4"/>
    <w:rsid w:val="009A4B6B"/>
    <w:rsid w:val="009A6AE6"/>
    <w:rsid w:val="009B10D2"/>
    <w:rsid w:val="009B1DB1"/>
    <w:rsid w:val="009B2354"/>
    <w:rsid w:val="009B2561"/>
    <w:rsid w:val="009B36E6"/>
    <w:rsid w:val="009B4A75"/>
    <w:rsid w:val="009B4F15"/>
    <w:rsid w:val="009B627E"/>
    <w:rsid w:val="009B65B9"/>
    <w:rsid w:val="009B71D7"/>
    <w:rsid w:val="009B7B64"/>
    <w:rsid w:val="009C0BCC"/>
    <w:rsid w:val="009C0CBD"/>
    <w:rsid w:val="009C1DFA"/>
    <w:rsid w:val="009C2075"/>
    <w:rsid w:val="009C2A11"/>
    <w:rsid w:val="009C36B8"/>
    <w:rsid w:val="009C43AD"/>
    <w:rsid w:val="009C5761"/>
    <w:rsid w:val="009C6DCA"/>
    <w:rsid w:val="009C6E43"/>
    <w:rsid w:val="009C7D7C"/>
    <w:rsid w:val="009D0FBD"/>
    <w:rsid w:val="009D1B7D"/>
    <w:rsid w:val="009D1C8D"/>
    <w:rsid w:val="009D29D6"/>
    <w:rsid w:val="009D411F"/>
    <w:rsid w:val="009D4902"/>
    <w:rsid w:val="009D4CA9"/>
    <w:rsid w:val="009D53C3"/>
    <w:rsid w:val="009D5733"/>
    <w:rsid w:val="009D608E"/>
    <w:rsid w:val="009D7906"/>
    <w:rsid w:val="009E0E68"/>
    <w:rsid w:val="009E173F"/>
    <w:rsid w:val="009E2CBD"/>
    <w:rsid w:val="009E424B"/>
    <w:rsid w:val="009E515C"/>
    <w:rsid w:val="009E5CFE"/>
    <w:rsid w:val="009E64F6"/>
    <w:rsid w:val="009F044B"/>
    <w:rsid w:val="009F13B1"/>
    <w:rsid w:val="009F500D"/>
    <w:rsid w:val="009F61E5"/>
    <w:rsid w:val="009F6895"/>
    <w:rsid w:val="009F6BFB"/>
    <w:rsid w:val="00A04E3D"/>
    <w:rsid w:val="00A07196"/>
    <w:rsid w:val="00A07684"/>
    <w:rsid w:val="00A07B86"/>
    <w:rsid w:val="00A07EB0"/>
    <w:rsid w:val="00A100DB"/>
    <w:rsid w:val="00A10513"/>
    <w:rsid w:val="00A1065F"/>
    <w:rsid w:val="00A10F0D"/>
    <w:rsid w:val="00A124B3"/>
    <w:rsid w:val="00A1337D"/>
    <w:rsid w:val="00A13F3F"/>
    <w:rsid w:val="00A144EF"/>
    <w:rsid w:val="00A14571"/>
    <w:rsid w:val="00A148B9"/>
    <w:rsid w:val="00A151D3"/>
    <w:rsid w:val="00A155AA"/>
    <w:rsid w:val="00A15AEC"/>
    <w:rsid w:val="00A1631E"/>
    <w:rsid w:val="00A163D3"/>
    <w:rsid w:val="00A17110"/>
    <w:rsid w:val="00A17187"/>
    <w:rsid w:val="00A1758C"/>
    <w:rsid w:val="00A17986"/>
    <w:rsid w:val="00A209AA"/>
    <w:rsid w:val="00A21105"/>
    <w:rsid w:val="00A23DA5"/>
    <w:rsid w:val="00A248B1"/>
    <w:rsid w:val="00A252EE"/>
    <w:rsid w:val="00A26C30"/>
    <w:rsid w:val="00A32E6F"/>
    <w:rsid w:val="00A3315B"/>
    <w:rsid w:val="00A36B3E"/>
    <w:rsid w:val="00A403C9"/>
    <w:rsid w:val="00A41801"/>
    <w:rsid w:val="00A41BD4"/>
    <w:rsid w:val="00A443D2"/>
    <w:rsid w:val="00A44421"/>
    <w:rsid w:val="00A461EC"/>
    <w:rsid w:val="00A4788D"/>
    <w:rsid w:val="00A51CEA"/>
    <w:rsid w:val="00A52C15"/>
    <w:rsid w:val="00A53E73"/>
    <w:rsid w:val="00A54660"/>
    <w:rsid w:val="00A56E7B"/>
    <w:rsid w:val="00A57EEE"/>
    <w:rsid w:val="00A601E1"/>
    <w:rsid w:val="00A603A9"/>
    <w:rsid w:val="00A61167"/>
    <w:rsid w:val="00A62FDE"/>
    <w:rsid w:val="00A639BE"/>
    <w:rsid w:val="00A65715"/>
    <w:rsid w:val="00A66555"/>
    <w:rsid w:val="00A668A4"/>
    <w:rsid w:val="00A672BC"/>
    <w:rsid w:val="00A6795C"/>
    <w:rsid w:val="00A70256"/>
    <w:rsid w:val="00A72467"/>
    <w:rsid w:val="00A729DB"/>
    <w:rsid w:val="00A7307B"/>
    <w:rsid w:val="00A73324"/>
    <w:rsid w:val="00A7488D"/>
    <w:rsid w:val="00A74F48"/>
    <w:rsid w:val="00A75114"/>
    <w:rsid w:val="00A76251"/>
    <w:rsid w:val="00A7658E"/>
    <w:rsid w:val="00A76791"/>
    <w:rsid w:val="00A76F58"/>
    <w:rsid w:val="00A81754"/>
    <w:rsid w:val="00A818C6"/>
    <w:rsid w:val="00A81916"/>
    <w:rsid w:val="00A82667"/>
    <w:rsid w:val="00A82A0F"/>
    <w:rsid w:val="00A82EF9"/>
    <w:rsid w:val="00A854B7"/>
    <w:rsid w:val="00A85B03"/>
    <w:rsid w:val="00A90686"/>
    <w:rsid w:val="00A91E3F"/>
    <w:rsid w:val="00A92066"/>
    <w:rsid w:val="00A93526"/>
    <w:rsid w:val="00A94C69"/>
    <w:rsid w:val="00A954F8"/>
    <w:rsid w:val="00A95764"/>
    <w:rsid w:val="00A96F5D"/>
    <w:rsid w:val="00A970A6"/>
    <w:rsid w:val="00A970CC"/>
    <w:rsid w:val="00A97480"/>
    <w:rsid w:val="00AA15A0"/>
    <w:rsid w:val="00AA24DC"/>
    <w:rsid w:val="00AA3BF5"/>
    <w:rsid w:val="00AA6387"/>
    <w:rsid w:val="00AA65A7"/>
    <w:rsid w:val="00AA6C2B"/>
    <w:rsid w:val="00AB10A6"/>
    <w:rsid w:val="00AB2B76"/>
    <w:rsid w:val="00AB2C9A"/>
    <w:rsid w:val="00AB4B18"/>
    <w:rsid w:val="00AB4BC3"/>
    <w:rsid w:val="00AB7972"/>
    <w:rsid w:val="00AC0D26"/>
    <w:rsid w:val="00AC17B7"/>
    <w:rsid w:val="00AC1F84"/>
    <w:rsid w:val="00AC2DB7"/>
    <w:rsid w:val="00AC3483"/>
    <w:rsid w:val="00AC4111"/>
    <w:rsid w:val="00AC4898"/>
    <w:rsid w:val="00AC496F"/>
    <w:rsid w:val="00AC4E83"/>
    <w:rsid w:val="00AC4F60"/>
    <w:rsid w:val="00AC551F"/>
    <w:rsid w:val="00AC5B48"/>
    <w:rsid w:val="00AC64E5"/>
    <w:rsid w:val="00AD04B5"/>
    <w:rsid w:val="00AD17A8"/>
    <w:rsid w:val="00AD29B7"/>
    <w:rsid w:val="00AD6483"/>
    <w:rsid w:val="00AD681A"/>
    <w:rsid w:val="00AD6BA1"/>
    <w:rsid w:val="00AD78F2"/>
    <w:rsid w:val="00AD7FF2"/>
    <w:rsid w:val="00AE000D"/>
    <w:rsid w:val="00AE20FC"/>
    <w:rsid w:val="00AE2517"/>
    <w:rsid w:val="00AE367A"/>
    <w:rsid w:val="00AE3AF8"/>
    <w:rsid w:val="00AE3E5D"/>
    <w:rsid w:val="00AE46B9"/>
    <w:rsid w:val="00AE533A"/>
    <w:rsid w:val="00AE5656"/>
    <w:rsid w:val="00AE5DCF"/>
    <w:rsid w:val="00AE6954"/>
    <w:rsid w:val="00AE7BDB"/>
    <w:rsid w:val="00AF1D72"/>
    <w:rsid w:val="00AF2EF7"/>
    <w:rsid w:val="00AF3DD8"/>
    <w:rsid w:val="00AF4F39"/>
    <w:rsid w:val="00B00447"/>
    <w:rsid w:val="00B015CC"/>
    <w:rsid w:val="00B02D15"/>
    <w:rsid w:val="00B0312C"/>
    <w:rsid w:val="00B06FE3"/>
    <w:rsid w:val="00B079BA"/>
    <w:rsid w:val="00B07AE3"/>
    <w:rsid w:val="00B07D52"/>
    <w:rsid w:val="00B1048D"/>
    <w:rsid w:val="00B105EE"/>
    <w:rsid w:val="00B10614"/>
    <w:rsid w:val="00B10B95"/>
    <w:rsid w:val="00B11B87"/>
    <w:rsid w:val="00B11FF1"/>
    <w:rsid w:val="00B12627"/>
    <w:rsid w:val="00B15341"/>
    <w:rsid w:val="00B15652"/>
    <w:rsid w:val="00B159A3"/>
    <w:rsid w:val="00B16C33"/>
    <w:rsid w:val="00B176B8"/>
    <w:rsid w:val="00B21133"/>
    <w:rsid w:val="00B2119C"/>
    <w:rsid w:val="00B216FE"/>
    <w:rsid w:val="00B21CDA"/>
    <w:rsid w:val="00B21E4A"/>
    <w:rsid w:val="00B23C87"/>
    <w:rsid w:val="00B24F0D"/>
    <w:rsid w:val="00B26581"/>
    <w:rsid w:val="00B26FE6"/>
    <w:rsid w:val="00B27577"/>
    <w:rsid w:val="00B27BA6"/>
    <w:rsid w:val="00B30D0F"/>
    <w:rsid w:val="00B30F48"/>
    <w:rsid w:val="00B31086"/>
    <w:rsid w:val="00B31B1A"/>
    <w:rsid w:val="00B33986"/>
    <w:rsid w:val="00B33B49"/>
    <w:rsid w:val="00B3560F"/>
    <w:rsid w:val="00B35965"/>
    <w:rsid w:val="00B35978"/>
    <w:rsid w:val="00B36042"/>
    <w:rsid w:val="00B36282"/>
    <w:rsid w:val="00B36971"/>
    <w:rsid w:val="00B4112A"/>
    <w:rsid w:val="00B416E8"/>
    <w:rsid w:val="00B43AF1"/>
    <w:rsid w:val="00B43CB9"/>
    <w:rsid w:val="00B44F53"/>
    <w:rsid w:val="00B459C0"/>
    <w:rsid w:val="00B45B3A"/>
    <w:rsid w:val="00B476F4"/>
    <w:rsid w:val="00B51BE7"/>
    <w:rsid w:val="00B534A3"/>
    <w:rsid w:val="00B540CA"/>
    <w:rsid w:val="00B55573"/>
    <w:rsid w:val="00B55D31"/>
    <w:rsid w:val="00B57849"/>
    <w:rsid w:val="00B579F2"/>
    <w:rsid w:val="00B57AE4"/>
    <w:rsid w:val="00B57CA5"/>
    <w:rsid w:val="00B61269"/>
    <w:rsid w:val="00B629E9"/>
    <w:rsid w:val="00B65A9C"/>
    <w:rsid w:val="00B66BDD"/>
    <w:rsid w:val="00B677FF"/>
    <w:rsid w:val="00B67BDC"/>
    <w:rsid w:val="00B704E5"/>
    <w:rsid w:val="00B70808"/>
    <w:rsid w:val="00B71D08"/>
    <w:rsid w:val="00B7238B"/>
    <w:rsid w:val="00B73640"/>
    <w:rsid w:val="00B736C3"/>
    <w:rsid w:val="00B76C51"/>
    <w:rsid w:val="00B802AA"/>
    <w:rsid w:val="00B807AD"/>
    <w:rsid w:val="00B80A0E"/>
    <w:rsid w:val="00B818F0"/>
    <w:rsid w:val="00B840B4"/>
    <w:rsid w:val="00B84A2B"/>
    <w:rsid w:val="00B84CBC"/>
    <w:rsid w:val="00B84D09"/>
    <w:rsid w:val="00B85066"/>
    <w:rsid w:val="00B85B90"/>
    <w:rsid w:val="00B86481"/>
    <w:rsid w:val="00B90ACE"/>
    <w:rsid w:val="00B91283"/>
    <w:rsid w:val="00B948A9"/>
    <w:rsid w:val="00B963C7"/>
    <w:rsid w:val="00B96828"/>
    <w:rsid w:val="00B97373"/>
    <w:rsid w:val="00B97786"/>
    <w:rsid w:val="00B97A06"/>
    <w:rsid w:val="00B97BA6"/>
    <w:rsid w:val="00BA0609"/>
    <w:rsid w:val="00BA1C99"/>
    <w:rsid w:val="00BA2188"/>
    <w:rsid w:val="00BA2DFD"/>
    <w:rsid w:val="00BA6133"/>
    <w:rsid w:val="00BA6B6D"/>
    <w:rsid w:val="00BA6B92"/>
    <w:rsid w:val="00BA7032"/>
    <w:rsid w:val="00BB0043"/>
    <w:rsid w:val="00BB0F89"/>
    <w:rsid w:val="00BB164A"/>
    <w:rsid w:val="00BB198F"/>
    <w:rsid w:val="00BB1FAD"/>
    <w:rsid w:val="00BB2892"/>
    <w:rsid w:val="00BB2F32"/>
    <w:rsid w:val="00BB317C"/>
    <w:rsid w:val="00BB4BD8"/>
    <w:rsid w:val="00BB5CE3"/>
    <w:rsid w:val="00BB7BB1"/>
    <w:rsid w:val="00BC0CC7"/>
    <w:rsid w:val="00BC0D47"/>
    <w:rsid w:val="00BC1B73"/>
    <w:rsid w:val="00BC38ED"/>
    <w:rsid w:val="00BC39FB"/>
    <w:rsid w:val="00BC41DB"/>
    <w:rsid w:val="00BC46B2"/>
    <w:rsid w:val="00BC6FAA"/>
    <w:rsid w:val="00BC7B2D"/>
    <w:rsid w:val="00BD0D93"/>
    <w:rsid w:val="00BD27B4"/>
    <w:rsid w:val="00BD3CC0"/>
    <w:rsid w:val="00BD5F2D"/>
    <w:rsid w:val="00BD6387"/>
    <w:rsid w:val="00BD718D"/>
    <w:rsid w:val="00BE02FE"/>
    <w:rsid w:val="00BE0677"/>
    <w:rsid w:val="00BE124B"/>
    <w:rsid w:val="00BE12FD"/>
    <w:rsid w:val="00BE1DB7"/>
    <w:rsid w:val="00BE2CC5"/>
    <w:rsid w:val="00BE3B8A"/>
    <w:rsid w:val="00BE3C20"/>
    <w:rsid w:val="00BE4AAF"/>
    <w:rsid w:val="00BE4ACB"/>
    <w:rsid w:val="00BE4D8B"/>
    <w:rsid w:val="00BE6A37"/>
    <w:rsid w:val="00BE7F45"/>
    <w:rsid w:val="00BF03BB"/>
    <w:rsid w:val="00BF0E6C"/>
    <w:rsid w:val="00BF0FAF"/>
    <w:rsid w:val="00BF18F6"/>
    <w:rsid w:val="00BF1E7F"/>
    <w:rsid w:val="00BF3461"/>
    <w:rsid w:val="00BF389D"/>
    <w:rsid w:val="00BF4FEB"/>
    <w:rsid w:val="00BF5EC4"/>
    <w:rsid w:val="00BF6C3A"/>
    <w:rsid w:val="00BF74A7"/>
    <w:rsid w:val="00BF7E40"/>
    <w:rsid w:val="00C014F0"/>
    <w:rsid w:val="00C02AC1"/>
    <w:rsid w:val="00C0303F"/>
    <w:rsid w:val="00C030BE"/>
    <w:rsid w:val="00C03297"/>
    <w:rsid w:val="00C049ED"/>
    <w:rsid w:val="00C07ACC"/>
    <w:rsid w:val="00C11538"/>
    <w:rsid w:val="00C11E40"/>
    <w:rsid w:val="00C12F2C"/>
    <w:rsid w:val="00C1381A"/>
    <w:rsid w:val="00C14A2A"/>
    <w:rsid w:val="00C16293"/>
    <w:rsid w:val="00C163D2"/>
    <w:rsid w:val="00C16434"/>
    <w:rsid w:val="00C1731C"/>
    <w:rsid w:val="00C17580"/>
    <w:rsid w:val="00C20D3C"/>
    <w:rsid w:val="00C2127E"/>
    <w:rsid w:val="00C217C9"/>
    <w:rsid w:val="00C23828"/>
    <w:rsid w:val="00C23960"/>
    <w:rsid w:val="00C24A20"/>
    <w:rsid w:val="00C25A87"/>
    <w:rsid w:val="00C26123"/>
    <w:rsid w:val="00C31117"/>
    <w:rsid w:val="00C3263D"/>
    <w:rsid w:val="00C331C1"/>
    <w:rsid w:val="00C335BF"/>
    <w:rsid w:val="00C33E08"/>
    <w:rsid w:val="00C3438F"/>
    <w:rsid w:val="00C371AD"/>
    <w:rsid w:val="00C37285"/>
    <w:rsid w:val="00C374EA"/>
    <w:rsid w:val="00C3762C"/>
    <w:rsid w:val="00C426EE"/>
    <w:rsid w:val="00C4311F"/>
    <w:rsid w:val="00C4466A"/>
    <w:rsid w:val="00C44BF9"/>
    <w:rsid w:val="00C45EF7"/>
    <w:rsid w:val="00C46407"/>
    <w:rsid w:val="00C46833"/>
    <w:rsid w:val="00C4734F"/>
    <w:rsid w:val="00C514FD"/>
    <w:rsid w:val="00C52687"/>
    <w:rsid w:val="00C52EAE"/>
    <w:rsid w:val="00C535FE"/>
    <w:rsid w:val="00C55456"/>
    <w:rsid w:val="00C55890"/>
    <w:rsid w:val="00C559D6"/>
    <w:rsid w:val="00C57365"/>
    <w:rsid w:val="00C575F7"/>
    <w:rsid w:val="00C57A69"/>
    <w:rsid w:val="00C60B07"/>
    <w:rsid w:val="00C61650"/>
    <w:rsid w:val="00C61952"/>
    <w:rsid w:val="00C629B5"/>
    <w:rsid w:val="00C638E4"/>
    <w:rsid w:val="00C6414B"/>
    <w:rsid w:val="00C6529A"/>
    <w:rsid w:val="00C656C7"/>
    <w:rsid w:val="00C658F4"/>
    <w:rsid w:val="00C668FA"/>
    <w:rsid w:val="00C66BA0"/>
    <w:rsid w:val="00C675F1"/>
    <w:rsid w:val="00C71911"/>
    <w:rsid w:val="00C7243E"/>
    <w:rsid w:val="00C7347E"/>
    <w:rsid w:val="00C742FD"/>
    <w:rsid w:val="00C755D4"/>
    <w:rsid w:val="00C75965"/>
    <w:rsid w:val="00C76F43"/>
    <w:rsid w:val="00C77868"/>
    <w:rsid w:val="00C77F20"/>
    <w:rsid w:val="00C8081C"/>
    <w:rsid w:val="00C815E4"/>
    <w:rsid w:val="00C83FD8"/>
    <w:rsid w:val="00C84AB7"/>
    <w:rsid w:val="00C84DF3"/>
    <w:rsid w:val="00C850D3"/>
    <w:rsid w:val="00C856BF"/>
    <w:rsid w:val="00C8681E"/>
    <w:rsid w:val="00C8731A"/>
    <w:rsid w:val="00C874C7"/>
    <w:rsid w:val="00C91EEF"/>
    <w:rsid w:val="00C92B33"/>
    <w:rsid w:val="00C930DF"/>
    <w:rsid w:val="00C93194"/>
    <w:rsid w:val="00C9465F"/>
    <w:rsid w:val="00C94B88"/>
    <w:rsid w:val="00C96764"/>
    <w:rsid w:val="00C96C6B"/>
    <w:rsid w:val="00C97B65"/>
    <w:rsid w:val="00CA2281"/>
    <w:rsid w:val="00CA237E"/>
    <w:rsid w:val="00CA3585"/>
    <w:rsid w:val="00CA3DCD"/>
    <w:rsid w:val="00CA55E8"/>
    <w:rsid w:val="00CA753B"/>
    <w:rsid w:val="00CA7E69"/>
    <w:rsid w:val="00CA7FAC"/>
    <w:rsid w:val="00CB13C3"/>
    <w:rsid w:val="00CB13E0"/>
    <w:rsid w:val="00CB2205"/>
    <w:rsid w:val="00CB222C"/>
    <w:rsid w:val="00CB2A0F"/>
    <w:rsid w:val="00CB30F3"/>
    <w:rsid w:val="00CB378B"/>
    <w:rsid w:val="00CB4733"/>
    <w:rsid w:val="00CB5151"/>
    <w:rsid w:val="00CB570C"/>
    <w:rsid w:val="00CB638E"/>
    <w:rsid w:val="00CC032C"/>
    <w:rsid w:val="00CC048E"/>
    <w:rsid w:val="00CC1846"/>
    <w:rsid w:val="00CC2957"/>
    <w:rsid w:val="00CC4197"/>
    <w:rsid w:val="00CC422C"/>
    <w:rsid w:val="00CC70A6"/>
    <w:rsid w:val="00CC7905"/>
    <w:rsid w:val="00CC7C55"/>
    <w:rsid w:val="00CC7F9F"/>
    <w:rsid w:val="00CD03FF"/>
    <w:rsid w:val="00CD0D4D"/>
    <w:rsid w:val="00CD2F95"/>
    <w:rsid w:val="00CD3AA0"/>
    <w:rsid w:val="00CD57AA"/>
    <w:rsid w:val="00CD57F1"/>
    <w:rsid w:val="00CD714C"/>
    <w:rsid w:val="00CD7F1D"/>
    <w:rsid w:val="00CE0F7D"/>
    <w:rsid w:val="00CE1F9A"/>
    <w:rsid w:val="00CE3C59"/>
    <w:rsid w:val="00CE4E07"/>
    <w:rsid w:val="00CE585F"/>
    <w:rsid w:val="00CE595E"/>
    <w:rsid w:val="00CE65B4"/>
    <w:rsid w:val="00CE66A6"/>
    <w:rsid w:val="00CE72D6"/>
    <w:rsid w:val="00CE7B86"/>
    <w:rsid w:val="00CF26F7"/>
    <w:rsid w:val="00CF2BAD"/>
    <w:rsid w:val="00CF2F27"/>
    <w:rsid w:val="00CF3CAF"/>
    <w:rsid w:val="00CF3D51"/>
    <w:rsid w:val="00CF586E"/>
    <w:rsid w:val="00CF5F05"/>
    <w:rsid w:val="00CF6601"/>
    <w:rsid w:val="00CF6894"/>
    <w:rsid w:val="00CF6B63"/>
    <w:rsid w:val="00D000FB"/>
    <w:rsid w:val="00D01CB7"/>
    <w:rsid w:val="00D030BB"/>
    <w:rsid w:val="00D046ED"/>
    <w:rsid w:val="00D04DFC"/>
    <w:rsid w:val="00D05467"/>
    <w:rsid w:val="00D0798F"/>
    <w:rsid w:val="00D07B7E"/>
    <w:rsid w:val="00D07C15"/>
    <w:rsid w:val="00D10C02"/>
    <w:rsid w:val="00D113AB"/>
    <w:rsid w:val="00D126FC"/>
    <w:rsid w:val="00D12BDD"/>
    <w:rsid w:val="00D12DA0"/>
    <w:rsid w:val="00D1323F"/>
    <w:rsid w:val="00D14A6A"/>
    <w:rsid w:val="00D16F0A"/>
    <w:rsid w:val="00D1783F"/>
    <w:rsid w:val="00D17DBA"/>
    <w:rsid w:val="00D20542"/>
    <w:rsid w:val="00D20783"/>
    <w:rsid w:val="00D20CBE"/>
    <w:rsid w:val="00D21C68"/>
    <w:rsid w:val="00D21ED0"/>
    <w:rsid w:val="00D22509"/>
    <w:rsid w:val="00D22990"/>
    <w:rsid w:val="00D23CAB"/>
    <w:rsid w:val="00D24511"/>
    <w:rsid w:val="00D25B39"/>
    <w:rsid w:val="00D27A38"/>
    <w:rsid w:val="00D303A1"/>
    <w:rsid w:val="00D30797"/>
    <w:rsid w:val="00D31C39"/>
    <w:rsid w:val="00D31EB4"/>
    <w:rsid w:val="00D34589"/>
    <w:rsid w:val="00D36D7F"/>
    <w:rsid w:val="00D36E45"/>
    <w:rsid w:val="00D373FB"/>
    <w:rsid w:val="00D40827"/>
    <w:rsid w:val="00D42464"/>
    <w:rsid w:val="00D42547"/>
    <w:rsid w:val="00D42EC9"/>
    <w:rsid w:val="00D435E7"/>
    <w:rsid w:val="00D43C94"/>
    <w:rsid w:val="00D45369"/>
    <w:rsid w:val="00D4548C"/>
    <w:rsid w:val="00D464A7"/>
    <w:rsid w:val="00D46D42"/>
    <w:rsid w:val="00D47230"/>
    <w:rsid w:val="00D47C75"/>
    <w:rsid w:val="00D51E68"/>
    <w:rsid w:val="00D53253"/>
    <w:rsid w:val="00D541EA"/>
    <w:rsid w:val="00D54618"/>
    <w:rsid w:val="00D54C67"/>
    <w:rsid w:val="00D552AF"/>
    <w:rsid w:val="00D56E67"/>
    <w:rsid w:val="00D573CF"/>
    <w:rsid w:val="00D575F7"/>
    <w:rsid w:val="00D61785"/>
    <w:rsid w:val="00D6223A"/>
    <w:rsid w:val="00D652E8"/>
    <w:rsid w:val="00D652EA"/>
    <w:rsid w:val="00D65829"/>
    <w:rsid w:val="00D670F3"/>
    <w:rsid w:val="00D67ED3"/>
    <w:rsid w:val="00D700B1"/>
    <w:rsid w:val="00D70C68"/>
    <w:rsid w:val="00D715EF"/>
    <w:rsid w:val="00D71AB8"/>
    <w:rsid w:val="00D71EF6"/>
    <w:rsid w:val="00D7329A"/>
    <w:rsid w:val="00D73504"/>
    <w:rsid w:val="00D73A34"/>
    <w:rsid w:val="00D73D5E"/>
    <w:rsid w:val="00D73E82"/>
    <w:rsid w:val="00D7472A"/>
    <w:rsid w:val="00D74B6E"/>
    <w:rsid w:val="00D74CEF"/>
    <w:rsid w:val="00D756C0"/>
    <w:rsid w:val="00D76251"/>
    <w:rsid w:val="00D76AA4"/>
    <w:rsid w:val="00D77138"/>
    <w:rsid w:val="00D771D8"/>
    <w:rsid w:val="00D77501"/>
    <w:rsid w:val="00D778E0"/>
    <w:rsid w:val="00D77905"/>
    <w:rsid w:val="00D8096A"/>
    <w:rsid w:val="00D81626"/>
    <w:rsid w:val="00D824AC"/>
    <w:rsid w:val="00D825B3"/>
    <w:rsid w:val="00D83A80"/>
    <w:rsid w:val="00D85716"/>
    <w:rsid w:val="00D85941"/>
    <w:rsid w:val="00D85D73"/>
    <w:rsid w:val="00D86D9C"/>
    <w:rsid w:val="00D8790B"/>
    <w:rsid w:val="00D879DE"/>
    <w:rsid w:val="00D90B1E"/>
    <w:rsid w:val="00D91AE6"/>
    <w:rsid w:val="00D921A3"/>
    <w:rsid w:val="00D92FC1"/>
    <w:rsid w:val="00D947AD"/>
    <w:rsid w:val="00D9764C"/>
    <w:rsid w:val="00DA0601"/>
    <w:rsid w:val="00DA0E04"/>
    <w:rsid w:val="00DA222A"/>
    <w:rsid w:val="00DA2BB4"/>
    <w:rsid w:val="00DA462D"/>
    <w:rsid w:val="00DA5E34"/>
    <w:rsid w:val="00DA6F41"/>
    <w:rsid w:val="00DA7192"/>
    <w:rsid w:val="00DA7D11"/>
    <w:rsid w:val="00DB02DE"/>
    <w:rsid w:val="00DB0412"/>
    <w:rsid w:val="00DB12E6"/>
    <w:rsid w:val="00DB13DB"/>
    <w:rsid w:val="00DB155E"/>
    <w:rsid w:val="00DB28E3"/>
    <w:rsid w:val="00DB3AA0"/>
    <w:rsid w:val="00DB4822"/>
    <w:rsid w:val="00DB5B78"/>
    <w:rsid w:val="00DB64B0"/>
    <w:rsid w:val="00DB6761"/>
    <w:rsid w:val="00DB6769"/>
    <w:rsid w:val="00DB7462"/>
    <w:rsid w:val="00DB788F"/>
    <w:rsid w:val="00DB7C9F"/>
    <w:rsid w:val="00DC0543"/>
    <w:rsid w:val="00DC07E4"/>
    <w:rsid w:val="00DC0EE7"/>
    <w:rsid w:val="00DC10F4"/>
    <w:rsid w:val="00DC16D6"/>
    <w:rsid w:val="00DC1DD3"/>
    <w:rsid w:val="00DC2704"/>
    <w:rsid w:val="00DC3326"/>
    <w:rsid w:val="00DC36FA"/>
    <w:rsid w:val="00DC793D"/>
    <w:rsid w:val="00DC7CBE"/>
    <w:rsid w:val="00DD1DB8"/>
    <w:rsid w:val="00DD1F8B"/>
    <w:rsid w:val="00DD4259"/>
    <w:rsid w:val="00DD5A0F"/>
    <w:rsid w:val="00DD6AB4"/>
    <w:rsid w:val="00DD7FF6"/>
    <w:rsid w:val="00DE10CB"/>
    <w:rsid w:val="00DE3423"/>
    <w:rsid w:val="00DE3538"/>
    <w:rsid w:val="00DE56C7"/>
    <w:rsid w:val="00DE6C91"/>
    <w:rsid w:val="00DE6F51"/>
    <w:rsid w:val="00DE70F6"/>
    <w:rsid w:val="00DE71F2"/>
    <w:rsid w:val="00DE7605"/>
    <w:rsid w:val="00DF2066"/>
    <w:rsid w:val="00DF27DE"/>
    <w:rsid w:val="00DF549F"/>
    <w:rsid w:val="00DF7473"/>
    <w:rsid w:val="00E002CB"/>
    <w:rsid w:val="00E0248D"/>
    <w:rsid w:val="00E025FD"/>
    <w:rsid w:val="00E02AA0"/>
    <w:rsid w:val="00E03962"/>
    <w:rsid w:val="00E06AC0"/>
    <w:rsid w:val="00E10527"/>
    <w:rsid w:val="00E112A2"/>
    <w:rsid w:val="00E1147A"/>
    <w:rsid w:val="00E11A29"/>
    <w:rsid w:val="00E1305F"/>
    <w:rsid w:val="00E15613"/>
    <w:rsid w:val="00E17356"/>
    <w:rsid w:val="00E173AE"/>
    <w:rsid w:val="00E23F31"/>
    <w:rsid w:val="00E24F7C"/>
    <w:rsid w:val="00E25434"/>
    <w:rsid w:val="00E27C4B"/>
    <w:rsid w:val="00E310D7"/>
    <w:rsid w:val="00E311F3"/>
    <w:rsid w:val="00E32019"/>
    <w:rsid w:val="00E33C7A"/>
    <w:rsid w:val="00E33DDC"/>
    <w:rsid w:val="00E355E6"/>
    <w:rsid w:val="00E35BE6"/>
    <w:rsid w:val="00E3620C"/>
    <w:rsid w:val="00E36816"/>
    <w:rsid w:val="00E405A9"/>
    <w:rsid w:val="00E4230B"/>
    <w:rsid w:val="00E441FA"/>
    <w:rsid w:val="00E44BFC"/>
    <w:rsid w:val="00E4534D"/>
    <w:rsid w:val="00E46695"/>
    <w:rsid w:val="00E4776E"/>
    <w:rsid w:val="00E47844"/>
    <w:rsid w:val="00E50BAB"/>
    <w:rsid w:val="00E50FCA"/>
    <w:rsid w:val="00E5315F"/>
    <w:rsid w:val="00E53594"/>
    <w:rsid w:val="00E54B74"/>
    <w:rsid w:val="00E55FFB"/>
    <w:rsid w:val="00E56F24"/>
    <w:rsid w:val="00E57099"/>
    <w:rsid w:val="00E57CB1"/>
    <w:rsid w:val="00E62509"/>
    <w:rsid w:val="00E634EB"/>
    <w:rsid w:val="00E63DCA"/>
    <w:rsid w:val="00E647A7"/>
    <w:rsid w:val="00E65977"/>
    <w:rsid w:val="00E65E64"/>
    <w:rsid w:val="00E65F9F"/>
    <w:rsid w:val="00E66AF2"/>
    <w:rsid w:val="00E67E15"/>
    <w:rsid w:val="00E7055A"/>
    <w:rsid w:val="00E711F8"/>
    <w:rsid w:val="00E72C9E"/>
    <w:rsid w:val="00E74818"/>
    <w:rsid w:val="00E74B0A"/>
    <w:rsid w:val="00E74B5E"/>
    <w:rsid w:val="00E74D38"/>
    <w:rsid w:val="00E7619A"/>
    <w:rsid w:val="00E7697F"/>
    <w:rsid w:val="00E80A78"/>
    <w:rsid w:val="00E82267"/>
    <w:rsid w:val="00E8392D"/>
    <w:rsid w:val="00E853AF"/>
    <w:rsid w:val="00E86628"/>
    <w:rsid w:val="00E87045"/>
    <w:rsid w:val="00E87592"/>
    <w:rsid w:val="00E87644"/>
    <w:rsid w:val="00E87D07"/>
    <w:rsid w:val="00E87EDE"/>
    <w:rsid w:val="00E90C35"/>
    <w:rsid w:val="00E90C3A"/>
    <w:rsid w:val="00E91389"/>
    <w:rsid w:val="00E916A3"/>
    <w:rsid w:val="00E9192A"/>
    <w:rsid w:val="00E91C00"/>
    <w:rsid w:val="00E91F65"/>
    <w:rsid w:val="00E9202A"/>
    <w:rsid w:val="00E92092"/>
    <w:rsid w:val="00E9248A"/>
    <w:rsid w:val="00E93D4A"/>
    <w:rsid w:val="00E94806"/>
    <w:rsid w:val="00E94D7F"/>
    <w:rsid w:val="00E95603"/>
    <w:rsid w:val="00E959B4"/>
    <w:rsid w:val="00E9618F"/>
    <w:rsid w:val="00E968EF"/>
    <w:rsid w:val="00E97BF0"/>
    <w:rsid w:val="00EA0975"/>
    <w:rsid w:val="00EA13BC"/>
    <w:rsid w:val="00EA1E2B"/>
    <w:rsid w:val="00EA29B5"/>
    <w:rsid w:val="00EA2AA5"/>
    <w:rsid w:val="00EA47C5"/>
    <w:rsid w:val="00EA5BAA"/>
    <w:rsid w:val="00EA5D72"/>
    <w:rsid w:val="00EA6743"/>
    <w:rsid w:val="00EA6939"/>
    <w:rsid w:val="00EA7069"/>
    <w:rsid w:val="00EA7D4B"/>
    <w:rsid w:val="00EB06B7"/>
    <w:rsid w:val="00EB1F00"/>
    <w:rsid w:val="00EB1FFE"/>
    <w:rsid w:val="00EB28D4"/>
    <w:rsid w:val="00EB40DF"/>
    <w:rsid w:val="00EB451F"/>
    <w:rsid w:val="00EB469D"/>
    <w:rsid w:val="00EB4D0D"/>
    <w:rsid w:val="00EB62BD"/>
    <w:rsid w:val="00EB6457"/>
    <w:rsid w:val="00EB73A1"/>
    <w:rsid w:val="00EB7E19"/>
    <w:rsid w:val="00EC0352"/>
    <w:rsid w:val="00EC2503"/>
    <w:rsid w:val="00EC37C1"/>
    <w:rsid w:val="00EC5597"/>
    <w:rsid w:val="00EC670D"/>
    <w:rsid w:val="00EC7934"/>
    <w:rsid w:val="00ED07F5"/>
    <w:rsid w:val="00ED0E36"/>
    <w:rsid w:val="00ED15DF"/>
    <w:rsid w:val="00ED31EE"/>
    <w:rsid w:val="00ED3DEC"/>
    <w:rsid w:val="00ED447B"/>
    <w:rsid w:val="00ED44B9"/>
    <w:rsid w:val="00ED4D94"/>
    <w:rsid w:val="00ED5290"/>
    <w:rsid w:val="00EE1421"/>
    <w:rsid w:val="00EE4966"/>
    <w:rsid w:val="00EE5E23"/>
    <w:rsid w:val="00EE6206"/>
    <w:rsid w:val="00EE73BB"/>
    <w:rsid w:val="00EE7548"/>
    <w:rsid w:val="00EF06F9"/>
    <w:rsid w:val="00EF07CF"/>
    <w:rsid w:val="00EF1024"/>
    <w:rsid w:val="00EF30BD"/>
    <w:rsid w:val="00EF392A"/>
    <w:rsid w:val="00EF5F9F"/>
    <w:rsid w:val="00F002E2"/>
    <w:rsid w:val="00F0030B"/>
    <w:rsid w:val="00F021FE"/>
    <w:rsid w:val="00F06139"/>
    <w:rsid w:val="00F109DA"/>
    <w:rsid w:val="00F10A74"/>
    <w:rsid w:val="00F13060"/>
    <w:rsid w:val="00F155C1"/>
    <w:rsid w:val="00F1582F"/>
    <w:rsid w:val="00F1630E"/>
    <w:rsid w:val="00F1786C"/>
    <w:rsid w:val="00F17D4E"/>
    <w:rsid w:val="00F17DC0"/>
    <w:rsid w:val="00F21127"/>
    <w:rsid w:val="00F22025"/>
    <w:rsid w:val="00F23D32"/>
    <w:rsid w:val="00F241C6"/>
    <w:rsid w:val="00F2445D"/>
    <w:rsid w:val="00F2448F"/>
    <w:rsid w:val="00F258E5"/>
    <w:rsid w:val="00F2717A"/>
    <w:rsid w:val="00F27494"/>
    <w:rsid w:val="00F30471"/>
    <w:rsid w:val="00F316BD"/>
    <w:rsid w:val="00F320E2"/>
    <w:rsid w:val="00F32467"/>
    <w:rsid w:val="00F32DBD"/>
    <w:rsid w:val="00F33F51"/>
    <w:rsid w:val="00F3419A"/>
    <w:rsid w:val="00F352D7"/>
    <w:rsid w:val="00F354BD"/>
    <w:rsid w:val="00F36310"/>
    <w:rsid w:val="00F37178"/>
    <w:rsid w:val="00F379A1"/>
    <w:rsid w:val="00F40C7B"/>
    <w:rsid w:val="00F41430"/>
    <w:rsid w:val="00F41440"/>
    <w:rsid w:val="00F42530"/>
    <w:rsid w:val="00F43096"/>
    <w:rsid w:val="00F439F5"/>
    <w:rsid w:val="00F4411A"/>
    <w:rsid w:val="00F44DAA"/>
    <w:rsid w:val="00F45695"/>
    <w:rsid w:val="00F45784"/>
    <w:rsid w:val="00F464CC"/>
    <w:rsid w:val="00F479BC"/>
    <w:rsid w:val="00F47DB9"/>
    <w:rsid w:val="00F50148"/>
    <w:rsid w:val="00F5297A"/>
    <w:rsid w:val="00F53D09"/>
    <w:rsid w:val="00F55E06"/>
    <w:rsid w:val="00F57372"/>
    <w:rsid w:val="00F60147"/>
    <w:rsid w:val="00F649A2"/>
    <w:rsid w:val="00F64A38"/>
    <w:rsid w:val="00F65615"/>
    <w:rsid w:val="00F65B85"/>
    <w:rsid w:val="00F664D8"/>
    <w:rsid w:val="00F670CA"/>
    <w:rsid w:val="00F67589"/>
    <w:rsid w:val="00F67D88"/>
    <w:rsid w:val="00F715E0"/>
    <w:rsid w:val="00F718B6"/>
    <w:rsid w:val="00F729E6"/>
    <w:rsid w:val="00F7304A"/>
    <w:rsid w:val="00F74A8E"/>
    <w:rsid w:val="00F74CCB"/>
    <w:rsid w:val="00F759C2"/>
    <w:rsid w:val="00F75C53"/>
    <w:rsid w:val="00F77E2A"/>
    <w:rsid w:val="00F802F2"/>
    <w:rsid w:val="00F8177D"/>
    <w:rsid w:val="00F82D44"/>
    <w:rsid w:val="00F83FD6"/>
    <w:rsid w:val="00F84865"/>
    <w:rsid w:val="00F84DED"/>
    <w:rsid w:val="00F86E63"/>
    <w:rsid w:val="00F8771E"/>
    <w:rsid w:val="00F903EC"/>
    <w:rsid w:val="00F91264"/>
    <w:rsid w:val="00F91D6D"/>
    <w:rsid w:val="00F92067"/>
    <w:rsid w:val="00F93EE5"/>
    <w:rsid w:val="00F94B99"/>
    <w:rsid w:val="00F95647"/>
    <w:rsid w:val="00F95DDD"/>
    <w:rsid w:val="00F95FB8"/>
    <w:rsid w:val="00F9624A"/>
    <w:rsid w:val="00F96400"/>
    <w:rsid w:val="00F96522"/>
    <w:rsid w:val="00F973CF"/>
    <w:rsid w:val="00FA19B2"/>
    <w:rsid w:val="00FA35FB"/>
    <w:rsid w:val="00FA376D"/>
    <w:rsid w:val="00FA3C79"/>
    <w:rsid w:val="00FA47E5"/>
    <w:rsid w:val="00FA6161"/>
    <w:rsid w:val="00FA75E7"/>
    <w:rsid w:val="00FB03E5"/>
    <w:rsid w:val="00FB202C"/>
    <w:rsid w:val="00FB2E04"/>
    <w:rsid w:val="00FB370E"/>
    <w:rsid w:val="00FB3DBA"/>
    <w:rsid w:val="00FB458A"/>
    <w:rsid w:val="00FB46AE"/>
    <w:rsid w:val="00FB551B"/>
    <w:rsid w:val="00FB5C5E"/>
    <w:rsid w:val="00FB5EF1"/>
    <w:rsid w:val="00FB68CF"/>
    <w:rsid w:val="00FB6E46"/>
    <w:rsid w:val="00FC0944"/>
    <w:rsid w:val="00FC1628"/>
    <w:rsid w:val="00FC26AF"/>
    <w:rsid w:val="00FC2D1A"/>
    <w:rsid w:val="00FC6CB2"/>
    <w:rsid w:val="00FC7FA3"/>
    <w:rsid w:val="00FD0140"/>
    <w:rsid w:val="00FD1CE2"/>
    <w:rsid w:val="00FD2A11"/>
    <w:rsid w:val="00FD2A23"/>
    <w:rsid w:val="00FD3A36"/>
    <w:rsid w:val="00FD3D36"/>
    <w:rsid w:val="00FD4C29"/>
    <w:rsid w:val="00FD73CC"/>
    <w:rsid w:val="00FD74CB"/>
    <w:rsid w:val="00FD7A8D"/>
    <w:rsid w:val="00FE189F"/>
    <w:rsid w:val="00FE2217"/>
    <w:rsid w:val="00FE296A"/>
    <w:rsid w:val="00FE2FBE"/>
    <w:rsid w:val="00FE528D"/>
    <w:rsid w:val="00FE5604"/>
    <w:rsid w:val="00FE560A"/>
    <w:rsid w:val="00FE5853"/>
    <w:rsid w:val="00FE5CD9"/>
    <w:rsid w:val="00FE680F"/>
    <w:rsid w:val="00FE6868"/>
    <w:rsid w:val="00FE785F"/>
    <w:rsid w:val="00FF0795"/>
    <w:rsid w:val="00FF1594"/>
    <w:rsid w:val="00FF20F4"/>
    <w:rsid w:val="00FF2793"/>
    <w:rsid w:val="00FF30B7"/>
    <w:rsid w:val="00FF325C"/>
    <w:rsid w:val="00FF35B8"/>
    <w:rsid w:val="00FF49FC"/>
    <w:rsid w:val="00FF7728"/>
    <w:rsid w:val="00FF7788"/>
    <w:rsid w:val="00FF7D5F"/>
    <w:rsid w:val="00FF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E4"/>
    <w:rPr>
      <w:rFonts w:ascii="Times New Roman" w:eastAsia="Times New Roman" w:hAnsi="Times New Roman"/>
      <w:sz w:val="24"/>
      <w:szCs w:val="24"/>
    </w:rPr>
  </w:style>
  <w:style w:type="paragraph" w:styleId="1">
    <w:name w:val="heading 1"/>
    <w:basedOn w:val="a"/>
    <w:next w:val="a"/>
    <w:link w:val="10"/>
    <w:uiPriority w:val="9"/>
    <w:qFormat/>
    <w:rsid w:val="007E606C"/>
    <w:pPr>
      <w:keepNext/>
      <w:spacing w:before="240" w:after="60"/>
      <w:outlineLvl w:val="0"/>
    </w:pPr>
    <w:rPr>
      <w:rFonts w:ascii="Cambria" w:hAnsi="Cambria"/>
      <w:b/>
      <w:bCs/>
      <w:kern w:val="32"/>
      <w:sz w:val="32"/>
      <w:szCs w:val="32"/>
    </w:rPr>
  </w:style>
  <w:style w:type="paragraph" w:styleId="3">
    <w:name w:val="heading 3"/>
    <w:basedOn w:val="a"/>
    <w:next w:val="a"/>
    <w:link w:val="30"/>
    <w:qFormat/>
    <w:rsid w:val="008712E4"/>
    <w:pPr>
      <w:keepNext/>
      <w:ind w:firstLine="720"/>
      <w:jc w:val="both"/>
      <w:outlineLvl w:val="2"/>
    </w:pPr>
    <w:rPr>
      <w:sz w:val="28"/>
    </w:rPr>
  </w:style>
  <w:style w:type="paragraph" w:styleId="5">
    <w:name w:val="heading 5"/>
    <w:basedOn w:val="a"/>
    <w:next w:val="a"/>
    <w:link w:val="50"/>
    <w:uiPriority w:val="9"/>
    <w:semiHidden/>
    <w:unhideWhenUsed/>
    <w:qFormat/>
    <w:rsid w:val="0014185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E606C"/>
    <w:rPr>
      <w:rFonts w:ascii="Cambria" w:eastAsia="Times New Roman" w:hAnsi="Cambria" w:cs="Times New Roman"/>
      <w:b/>
      <w:bCs/>
      <w:kern w:val="32"/>
      <w:sz w:val="32"/>
      <w:szCs w:val="32"/>
    </w:rPr>
  </w:style>
  <w:style w:type="character" w:customStyle="1" w:styleId="30">
    <w:name w:val="Заголовок 3 Знак"/>
    <w:link w:val="3"/>
    <w:rsid w:val="008712E4"/>
    <w:rPr>
      <w:rFonts w:ascii="Times New Roman" w:eastAsia="Times New Roman" w:hAnsi="Times New Roman" w:cs="Times New Roman"/>
      <w:sz w:val="28"/>
      <w:szCs w:val="24"/>
      <w:lang w:eastAsia="ru-RU"/>
    </w:rPr>
  </w:style>
  <w:style w:type="paragraph" w:customStyle="1" w:styleId="31">
    <w:name w:val="Стиль3"/>
    <w:basedOn w:val="11"/>
    <w:autoRedefine/>
    <w:rsid w:val="008712E4"/>
    <w:pPr>
      <w:tabs>
        <w:tab w:val="right" w:leader="dot" w:pos="9900"/>
      </w:tabs>
      <w:ind w:left="360" w:right="485" w:hanging="360"/>
    </w:pPr>
    <w:rPr>
      <w:b/>
      <w:noProof/>
      <w:color w:val="0000FF"/>
      <w:sz w:val="28"/>
      <w:szCs w:val="28"/>
    </w:rPr>
  </w:style>
  <w:style w:type="paragraph" w:styleId="11">
    <w:name w:val="toc 1"/>
    <w:basedOn w:val="a"/>
    <w:next w:val="a"/>
    <w:autoRedefine/>
    <w:semiHidden/>
    <w:rsid w:val="008712E4"/>
  </w:style>
  <w:style w:type="paragraph" w:styleId="a3">
    <w:name w:val="Body Text Indent"/>
    <w:basedOn w:val="a"/>
    <w:link w:val="a4"/>
    <w:uiPriority w:val="99"/>
    <w:rsid w:val="008712E4"/>
    <w:pPr>
      <w:ind w:firstLine="720"/>
      <w:jc w:val="both"/>
    </w:pPr>
    <w:rPr>
      <w:sz w:val="30"/>
    </w:rPr>
  </w:style>
  <w:style w:type="character" w:customStyle="1" w:styleId="a4">
    <w:name w:val="Основной текст с отступом Знак"/>
    <w:link w:val="a3"/>
    <w:uiPriority w:val="99"/>
    <w:rsid w:val="008712E4"/>
    <w:rPr>
      <w:rFonts w:ascii="Times New Roman" w:eastAsia="Times New Roman" w:hAnsi="Times New Roman" w:cs="Times New Roman"/>
      <w:sz w:val="30"/>
      <w:szCs w:val="24"/>
      <w:lang w:eastAsia="ru-RU"/>
    </w:rPr>
  </w:style>
  <w:style w:type="paragraph" w:styleId="2">
    <w:name w:val="Body Text Indent 2"/>
    <w:basedOn w:val="a"/>
    <w:link w:val="20"/>
    <w:rsid w:val="008712E4"/>
    <w:pPr>
      <w:ind w:firstLine="720"/>
      <w:jc w:val="both"/>
    </w:pPr>
    <w:rPr>
      <w:b/>
      <w:bCs/>
      <w:sz w:val="30"/>
    </w:rPr>
  </w:style>
  <w:style w:type="character" w:customStyle="1" w:styleId="20">
    <w:name w:val="Основной текст с отступом 2 Знак"/>
    <w:link w:val="2"/>
    <w:rsid w:val="008712E4"/>
    <w:rPr>
      <w:rFonts w:ascii="Times New Roman" w:eastAsia="Times New Roman" w:hAnsi="Times New Roman" w:cs="Times New Roman"/>
      <w:b/>
      <w:bCs/>
      <w:sz w:val="30"/>
      <w:szCs w:val="24"/>
      <w:lang w:eastAsia="ru-RU"/>
    </w:rPr>
  </w:style>
  <w:style w:type="paragraph" w:styleId="a5">
    <w:name w:val="Body Text"/>
    <w:basedOn w:val="a"/>
    <w:link w:val="a6"/>
    <w:rsid w:val="008712E4"/>
    <w:pPr>
      <w:jc w:val="center"/>
    </w:pPr>
    <w:rPr>
      <w:rFonts w:ascii="Arial" w:hAnsi="Arial"/>
      <w:b/>
      <w:bCs/>
      <w:i/>
      <w:iCs/>
      <w:color w:val="000000"/>
      <w:sz w:val="28"/>
      <w:szCs w:val="16"/>
    </w:rPr>
  </w:style>
  <w:style w:type="character" w:customStyle="1" w:styleId="a6">
    <w:name w:val="Основной текст Знак"/>
    <w:link w:val="a5"/>
    <w:rsid w:val="008712E4"/>
    <w:rPr>
      <w:rFonts w:ascii="Arial" w:eastAsia="Times New Roman" w:hAnsi="Arial" w:cs="Arial"/>
      <w:b/>
      <w:bCs/>
      <w:i/>
      <w:iCs/>
      <w:color w:val="000000"/>
      <w:sz w:val="28"/>
      <w:szCs w:val="16"/>
      <w:lang w:eastAsia="ru-RU"/>
    </w:rPr>
  </w:style>
  <w:style w:type="paragraph" w:styleId="a7">
    <w:name w:val="header"/>
    <w:basedOn w:val="a"/>
    <w:link w:val="a8"/>
    <w:uiPriority w:val="99"/>
    <w:rsid w:val="008712E4"/>
    <w:pPr>
      <w:tabs>
        <w:tab w:val="center" w:pos="4677"/>
        <w:tab w:val="right" w:pos="9355"/>
      </w:tabs>
    </w:pPr>
  </w:style>
  <w:style w:type="character" w:customStyle="1" w:styleId="a8">
    <w:name w:val="Верхний колонтитул Знак"/>
    <w:link w:val="a7"/>
    <w:uiPriority w:val="99"/>
    <w:rsid w:val="008712E4"/>
    <w:rPr>
      <w:rFonts w:ascii="Times New Roman" w:eastAsia="Times New Roman" w:hAnsi="Times New Roman" w:cs="Times New Roman"/>
      <w:sz w:val="24"/>
      <w:szCs w:val="24"/>
      <w:lang w:eastAsia="ru-RU"/>
    </w:rPr>
  </w:style>
  <w:style w:type="paragraph" w:styleId="a9">
    <w:name w:val="Normal (Web)"/>
    <w:basedOn w:val="a"/>
    <w:rsid w:val="008712E4"/>
    <w:pPr>
      <w:spacing w:before="100" w:beforeAutospacing="1" w:after="100" w:afterAutospacing="1"/>
    </w:pPr>
  </w:style>
  <w:style w:type="paragraph" w:styleId="aa">
    <w:name w:val="footnote text"/>
    <w:basedOn w:val="a"/>
    <w:link w:val="ab"/>
    <w:semiHidden/>
    <w:rsid w:val="008712E4"/>
    <w:rPr>
      <w:sz w:val="20"/>
      <w:szCs w:val="20"/>
    </w:rPr>
  </w:style>
  <w:style w:type="character" w:customStyle="1" w:styleId="ab">
    <w:name w:val="Текст сноски Знак"/>
    <w:link w:val="aa"/>
    <w:semiHidden/>
    <w:rsid w:val="008712E4"/>
    <w:rPr>
      <w:rFonts w:ascii="Times New Roman" w:eastAsia="Times New Roman" w:hAnsi="Times New Roman" w:cs="Times New Roman"/>
      <w:sz w:val="20"/>
      <w:szCs w:val="20"/>
      <w:lang w:eastAsia="ru-RU"/>
    </w:rPr>
  </w:style>
  <w:style w:type="paragraph" w:customStyle="1" w:styleId="ConsPlusNormal">
    <w:name w:val="ConsPlusNormal"/>
    <w:rsid w:val="008712E4"/>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8712E4"/>
    <w:pPr>
      <w:autoSpaceDE w:val="0"/>
      <w:autoSpaceDN w:val="0"/>
      <w:adjustRightInd w:val="0"/>
    </w:pPr>
    <w:rPr>
      <w:rFonts w:ascii="Courier New" w:eastAsia="Times New Roman" w:hAnsi="Courier New" w:cs="Courier New"/>
    </w:rPr>
  </w:style>
  <w:style w:type="paragraph" w:customStyle="1" w:styleId="ac">
    <w:name w:val="Знак Знак Знак"/>
    <w:basedOn w:val="a"/>
    <w:rsid w:val="008712E4"/>
    <w:pPr>
      <w:spacing w:before="100" w:beforeAutospacing="1" w:after="100" w:afterAutospacing="1"/>
    </w:pPr>
    <w:rPr>
      <w:rFonts w:ascii="Tahoma" w:hAnsi="Tahoma"/>
      <w:sz w:val="20"/>
      <w:szCs w:val="20"/>
      <w:lang w:val="en-US" w:eastAsia="en-US"/>
    </w:rPr>
  </w:style>
  <w:style w:type="paragraph" w:customStyle="1" w:styleId="ConsPlusTitle">
    <w:name w:val="ConsPlusTitle"/>
    <w:rsid w:val="008712E4"/>
    <w:pPr>
      <w:autoSpaceDE w:val="0"/>
      <w:autoSpaceDN w:val="0"/>
      <w:adjustRightInd w:val="0"/>
    </w:pPr>
    <w:rPr>
      <w:rFonts w:ascii="Times New Roman" w:eastAsia="Times New Roman" w:hAnsi="Times New Roman"/>
      <w:b/>
      <w:bCs/>
      <w:sz w:val="24"/>
      <w:szCs w:val="24"/>
    </w:rPr>
  </w:style>
  <w:style w:type="paragraph" w:customStyle="1" w:styleId="ConsNormal">
    <w:name w:val="ConsNormal"/>
    <w:rsid w:val="008712E4"/>
    <w:pPr>
      <w:widowControl w:val="0"/>
      <w:autoSpaceDE w:val="0"/>
      <w:autoSpaceDN w:val="0"/>
      <w:adjustRightInd w:val="0"/>
      <w:ind w:firstLine="720"/>
    </w:pPr>
    <w:rPr>
      <w:rFonts w:ascii="Arial" w:eastAsia="Times New Roman" w:hAnsi="Arial" w:cs="Arial"/>
    </w:rPr>
  </w:style>
  <w:style w:type="paragraph" w:styleId="ad">
    <w:name w:val="footer"/>
    <w:basedOn w:val="a"/>
    <w:link w:val="ae"/>
    <w:uiPriority w:val="99"/>
    <w:rsid w:val="008712E4"/>
    <w:pPr>
      <w:tabs>
        <w:tab w:val="center" w:pos="4677"/>
        <w:tab w:val="right" w:pos="9355"/>
      </w:tabs>
    </w:pPr>
  </w:style>
  <w:style w:type="character" w:customStyle="1" w:styleId="ae">
    <w:name w:val="Нижний колонтитул Знак"/>
    <w:link w:val="ad"/>
    <w:uiPriority w:val="99"/>
    <w:rsid w:val="008712E4"/>
    <w:rPr>
      <w:rFonts w:ascii="Times New Roman" w:eastAsia="Times New Roman" w:hAnsi="Times New Roman" w:cs="Times New Roman"/>
      <w:sz w:val="24"/>
      <w:szCs w:val="24"/>
      <w:lang w:eastAsia="ru-RU"/>
    </w:rPr>
  </w:style>
  <w:style w:type="character" w:styleId="af">
    <w:name w:val="page number"/>
    <w:basedOn w:val="a0"/>
    <w:rsid w:val="008712E4"/>
  </w:style>
  <w:style w:type="paragraph" w:styleId="af0">
    <w:name w:val="List Bullet"/>
    <w:basedOn w:val="a"/>
    <w:autoRedefine/>
    <w:rsid w:val="008712E4"/>
    <w:pPr>
      <w:keepNext/>
      <w:suppressLineNumbers/>
      <w:suppressAutoHyphens/>
      <w:ind w:right="846" w:firstLine="720"/>
      <w:jc w:val="center"/>
    </w:pPr>
    <w:rPr>
      <w:b/>
      <w:sz w:val="28"/>
      <w:szCs w:val="28"/>
      <w:lang w:eastAsia="ar-SA"/>
    </w:rPr>
  </w:style>
  <w:style w:type="character" w:styleId="af1">
    <w:name w:val="Strong"/>
    <w:qFormat/>
    <w:rsid w:val="008712E4"/>
    <w:rPr>
      <w:b/>
      <w:bCs/>
    </w:rPr>
  </w:style>
  <w:style w:type="character" w:styleId="af2">
    <w:name w:val="Emphasis"/>
    <w:qFormat/>
    <w:rsid w:val="008712E4"/>
    <w:rPr>
      <w:i/>
      <w:iCs/>
    </w:rPr>
  </w:style>
  <w:style w:type="paragraph" w:styleId="21">
    <w:name w:val="Body Text 2"/>
    <w:basedOn w:val="a"/>
    <w:link w:val="22"/>
    <w:uiPriority w:val="99"/>
    <w:rsid w:val="008712E4"/>
    <w:pPr>
      <w:spacing w:after="120" w:line="480" w:lineRule="auto"/>
    </w:pPr>
  </w:style>
  <w:style w:type="character" w:customStyle="1" w:styleId="22">
    <w:name w:val="Основной текст 2 Знак"/>
    <w:link w:val="21"/>
    <w:uiPriority w:val="99"/>
    <w:rsid w:val="008712E4"/>
    <w:rPr>
      <w:rFonts w:ascii="Times New Roman" w:eastAsia="Times New Roman" w:hAnsi="Times New Roman" w:cs="Times New Roman"/>
      <w:sz w:val="24"/>
      <w:szCs w:val="24"/>
      <w:lang w:eastAsia="ru-RU"/>
    </w:rPr>
  </w:style>
  <w:style w:type="character" w:customStyle="1" w:styleId="text">
    <w:name w:val="text"/>
    <w:rsid w:val="008712E4"/>
    <w:rPr>
      <w:rFonts w:cs="Times New Roman"/>
    </w:rPr>
  </w:style>
  <w:style w:type="paragraph" w:styleId="af3">
    <w:name w:val="Balloon Text"/>
    <w:basedOn w:val="a"/>
    <w:link w:val="af4"/>
    <w:uiPriority w:val="99"/>
    <w:semiHidden/>
    <w:unhideWhenUsed/>
    <w:rsid w:val="008712E4"/>
    <w:rPr>
      <w:rFonts w:ascii="Tahoma" w:hAnsi="Tahoma"/>
      <w:sz w:val="16"/>
      <w:szCs w:val="16"/>
    </w:rPr>
  </w:style>
  <w:style w:type="character" w:customStyle="1" w:styleId="af4">
    <w:name w:val="Текст выноски Знак"/>
    <w:link w:val="af3"/>
    <w:uiPriority w:val="99"/>
    <w:semiHidden/>
    <w:rsid w:val="008712E4"/>
    <w:rPr>
      <w:rFonts w:ascii="Tahoma" w:eastAsia="Times New Roman" w:hAnsi="Tahoma" w:cs="Tahoma"/>
      <w:sz w:val="16"/>
      <w:szCs w:val="16"/>
      <w:lang w:eastAsia="ru-RU"/>
    </w:rPr>
  </w:style>
  <w:style w:type="paragraph" w:styleId="af5">
    <w:name w:val="List Paragraph"/>
    <w:basedOn w:val="a"/>
    <w:uiPriority w:val="34"/>
    <w:qFormat/>
    <w:rsid w:val="008712E4"/>
    <w:pPr>
      <w:ind w:left="720"/>
      <w:contextualSpacing/>
    </w:pPr>
  </w:style>
  <w:style w:type="paragraph" w:customStyle="1" w:styleId="210">
    <w:name w:val="Основной текст с отступом 21"/>
    <w:basedOn w:val="a"/>
    <w:rsid w:val="008712E4"/>
    <w:pPr>
      <w:suppressAutoHyphens/>
      <w:ind w:firstLine="720"/>
      <w:jc w:val="both"/>
    </w:pPr>
    <w:rPr>
      <w:b/>
      <w:bCs/>
      <w:sz w:val="30"/>
      <w:lang w:eastAsia="ar-SA"/>
    </w:rPr>
  </w:style>
  <w:style w:type="character" w:styleId="af6">
    <w:name w:val="Hyperlink"/>
    <w:uiPriority w:val="99"/>
    <w:rsid w:val="008712E4"/>
    <w:rPr>
      <w:color w:val="0000FF"/>
      <w:u w:val="single"/>
    </w:rPr>
  </w:style>
  <w:style w:type="paragraph" w:styleId="af7">
    <w:name w:val="No Spacing"/>
    <w:uiPriority w:val="1"/>
    <w:qFormat/>
    <w:rsid w:val="006039EB"/>
    <w:rPr>
      <w:sz w:val="22"/>
      <w:szCs w:val="22"/>
      <w:lang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039EB"/>
    <w:pPr>
      <w:spacing w:before="100" w:beforeAutospacing="1" w:after="100" w:afterAutospacing="1"/>
    </w:pPr>
    <w:rPr>
      <w:rFonts w:ascii="Tahoma" w:hAnsi="Tahoma"/>
      <w:sz w:val="20"/>
      <w:szCs w:val="20"/>
      <w:lang w:val="en-US" w:eastAsia="en-US"/>
    </w:rPr>
  </w:style>
  <w:style w:type="table" w:styleId="af8">
    <w:name w:val="Table Grid"/>
    <w:basedOn w:val="a1"/>
    <w:rsid w:val="006039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w:basedOn w:val="a"/>
    <w:rsid w:val="006039EB"/>
    <w:pPr>
      <w:spacing w:after="160" w:line="240" w:lineRule="exact"/>
    </w:pPr>
    <w:rPr>
      <w:rFonts w:ascii="Verdana" w:hAnsi="Verdana"/>
      <w:sz w:val="20"/>
      <w:szCs w:val="20"/>
      <w:lang w:val="en-US" w:eastAsia="en-US"/>
    </w:rPr>
  </w:style>
  <w:style w:type="paragraph" w:styleId="HTML">
    <w:name w:val="HTML Preformatted"/>
    <w:basedOn w:val="a"/>
    <w:link w:val="HTML0"/>
    <w:rsid w:val="008A7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rsid w:val="008A730A"/>
    <w:rPr>
      <w:rFonts w:ascii="Courier New" w:hAnsi="Courier New" w:cs="Courier New"/>
    </w:rPr>
  </w:style>
  <w:style w:type="paragraph" w:customStyle="1" w:styleId="afa">
    <w:name w:val="Знак"/>
    <w:basedOn w:val="a"/>
    <w:rsid w:val="005F3C70"/>
    <w:pPr>
      <w:spacing w:after="160" w:line="240" w:lineRule="exact"/>
    </w:pPr>
    <w:rPr>
      <w:rFonts w:ascii="Verdana" w:hAnsi="Verdana"/>
      <w:sz w:val="20"/>
      <w:szCs w:val="20"/>
      <w:lang w:val="en-US" w:eastAsia="en-US"/>
    </w:rPr>
  </w:style>
  <w:style w:type="character" w:customStyle="1" w:styleId="50">
    <w:name w:val="Заголовок 5 Знак"/>
    <w:link w:val="5"/>
    <w:uiPriority w:val="9"/>
    <w:semiHidden/>
    <w:rsid w:val="00141852"/>
    <w:rPr>
      <w:rFonts w:ascii="Calibri" w:eastAsia="Times New Roman" w:hAnsi="Calibri" w:cs="Times New Roman"/>
      <w:b/>
      <w:bCs/>
      <w:i/>
      <w:iCs/>
      <w:sz w:val="26"/>
      <w:szCs w:val="26"/>
    </w:rPr>
  </w:style>
  <w:style w:type="character" w:customStyle="1" w:styleId="afb">
    <w:name w:val="Основной текст_"/>
    <w:link w:val="12"/>
    <w:rsid w:val="00816360"/>
    <w:rPr>
      <w:rFonts w:ascii="Times New Roman" w:eastAsia="Times New Roman" w:hAnsi="Times New Roman"/>
      <w:spacing w:val="3"/>
      <w:sz w:val="23"/>
      <w:szCs w:val="23"/>
      <w:shd w:val="clear" w:color="auto" w:fill="FFFFFF"/>
    </w:rPr>
  </w:style>
  <w:style w:type="paragraph" w:customStyle="1" w:styleId="12">
    <w:name w:val="Основной текст1"/>
    <w:basedOn w:val="a"/>
    <w:link w:val="afb"/>
    <w:rsid w:val="00816360"/>
    <w:pPr>
      <w:widowControl w:val="0"/>
      <w:shd w:val="clear" w:color="auto" w:fill="FFFFFF"/>
      <w:spacing w:line="290" w:lineRule="exact"/>
      <w:jc w:val="both"/>
    </w:pPr>
    <w:rPr>
      <w:spacing w:val="3"/>
      <w:sz w:val="23"/>
      <w:szCs w:val="23"/>
    </w:rPr>
  </w:style>
  <w:style w:type="character" w:customStyle="1" w:styleId="0pt">
    <w:name w:val="Основной текст + Полужирный;Курсив;Интервал 0 pt"/>
    <w:rsid w:val="00253937"/>
    <w:rPr>
      <w:rFonts w:ascii="Times New Roman" w:eastAsia="Times New Roman" w:hAnsi="Times New Roman" w:cs="Times New Roman"/>
      <w:b/>
      <w:bCs/>
      <w:i/>
      <w:iCs/>
      <w:smallCaps w:val="0"/>
      <w:strike w:val="0"/>
      <w:color w:val="000000"/>
      <w:spacing w:val="1"/>
      <w:w w:val="100"/>
      <w:position w:val="0"/>
      <w:sz w:val="23"/>
      <w:szCs w:val="23"/>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3827832">
      <w:bodyDiv w:val="1"/>
      <w:marLeft w:val="0"/>
      <w:marRight w:val="0"/>
      <w:marTop w:val="0"/>
      <w:marBottom w:val="0"/>
      <w:divBdr>
        <w:top w:val="none" w:sz="0" w:space="0" w:color="auto"/>
        <w:left w:val="none" w:sz="0" w:space="0" w:color="auto"/>
        <w:bottom w:val="none" w:sz="0" w:space="0" w:color="auto"/>
        <w:right w:val="none" w:sz="0" w:space="0" w:color="auto"/>
      </w:divBdr>
    </w:div>
    <w:div w:id="57365001">
      <w:bodyDiv w:val="1"/>
      <w:marLeft w:val="0"/>
      <w:marRight w:val="0"/>
      <w:marTop w:val="0"/>
      <w:marBottom w:val="0"/>
      <w:divBdr>
        <w:top w:val="none" w:sz="0" w:space="0" w:color="auto"/>
        <w:left w:val="none" w:sz="0" w:space="0" w:color="auto"/>
        <w:bottom w:val="none" w:sz="0" w:space="0" w:color="auto"/>
        <w:right w:val="none" w:sz="0" w:space="0" w:color="auto"/>
      </w:divBdr>
    </w:div>
    <w:div w:id="102069641">
      <w:bodyDiv w:val="1"/>
      <w:marLeft w:val="0"/>
      <w:marRight w:val="0"/>
      <w:marTop w:val="0"/>
      <w:marBottom w:val="0"/>
      <w:divBdr>
        <w:top w:val="none" w:sz="0" w:space="0" w:color="auto"/>
        <w:left w:val="none" w:sz="0" w:space="0" w:color="auto"/>
        <w:bottom w:val="none" w:sz="0" w:space="0" w:color="auto"/>
        <w:right w:val="none" w:sz="0" w:space="0" w:color="auto"/>
      </w:divBdr>
    </w:div>
    <w:div w:id="121654604">
      <w:bodyDiv w:val="1"/>
      <w:marLeft w:val="0"/>
      <w:marRight w:val="0"/>
      <w:marTop w:val="0"/>
      <w:marBottom w:val="0"/>
      <w:divBdr>
        <w:top w:val="none" w:sz="0" w:space="0" w:color="auto"/>
        <w:left w:val="none" w:sz="0" w:space="0" w:color="auto"/>
        <w:bottom w:val="none" w:sz="0" w:space="0" w:color="auto"/>
        <w:right w:val="none" w:sz="0" w:space="0" w:color="auto"/>
      </w:divBdr>
    </w:div>
    <w:div w:id="261571282">
      <w:bodyDiv w:val="1"/>
      <w:marLeft w:val="0"/>
      <w:marRight w:val="0"/>
      <w:marTop w:val="0"/>
      <w:marBottom w:val="0"/>
      <w:divBdr>
        <w:top w:val="none" w:sz="0" w:space="0" w:color="auto"/>
        <w:left w:val="none" w:sz="0" w:space="0" w:color="auto"/>
        <w:bottom w:val="none" w:sz="0" w:space="0" w:color="auto"/>
        <w:right w:val="none" w:sz="0" w:space="0" w:color="auto"/>
      </w:divBdr>
    </w:div>
    <w:div w:id="427041494">
      <w:bodyDiv w:val="1"/>
      <w:marLeft w:val="0"/>
      <w:marRight w:val="0"/>
      <w:marTop w:val="0"/>
      <w:marBottom w:val="0"/>
      <w:divBdr>
        <w:top w:val="none" w:sz="0" w:space="0" w:color="auto"/>
        <w:left w:val="none" w:sz="0" w:space="0" w:color="auto"/>
        <w:bottom w:val="none" w:sz="0" w:space="0" w:color="auto"/>
        <w:right w:val="none" w:sz="0" w:space="0" w:color="auto"/>
      </w:divBdr>
    </w:div>
    <w:div w:id="444887632">
      <w:bodyDiv w:val="1"/>
      <w:marLeft w:val="0"/>
      <w:marRight w:val="0"/>
      <w:marTop w:val="0"/>
      <w:marBottom w:val="0"/>
      <w:divBdr>
        <w:top w:val="none" w:sz="0" w:space="0" w:color="auto"/>
        <w:left w:val="none" w:sz="0" w:space="0" w:color="auto"/>
        <w:bottom w:val="none" w:sz="0" w:space="0" w:color="auto"/>
        <w:right w:val="none" w:sz="0" w:space="0" w:color="auto"/>
      </w:divBdr>
    </w:div>
    <w:div w:id="458651322">
      <w:bodyDiv w:val="1"/>
      <w:marLeft w:val="0"/>
      <w:marRight w:val="0"/>
      <w:marTop w:val="0"/>
      <w:marBottom w:val="0"/>
      <w:divBdr>
        <w:top w:val="none" w:sz="0" w:space="0" w:color="auto"/>
        <w:left w:val="none" w:sz="0" w:space="0" w:color="auto"/>
        <w:bottom w:val="none" w:sz="0" w:space="0" w:color="auto"/>
        <w:right w:val="none" w:sz="0" w:space="0" w:color="auto"/>
      </w:divBdr>
    </w:div>
    <w:div w:id="513761990">
      <w:bodyDiv w:val="1"/>
      <w:marLeft w:val="0"/>
      <w:marRight w:val="0"/>
      <w:marTop w:val="0"/>
      <w:marBottom w:val="0"/>
      <w:divBdr>
        <w:top w:val="none" w:sz="0" w:space="0" w:color="auto"/>
        <w:left w:val="none" w:sz="0" w:space="0" w:color="auto"/>
        <w:bottom w:val="none" w:sz="0" w:space="0" w:color="auto"/>
        <w:right w:val="none" w:sz="0" w:space="0" w:color="auto"/>
      </w:divBdr>
    </w:div>
    <w:div w:id="708341072">
      <w:bodyDiv w:val="1"/>
      <w:marLeft w:val="0"/>
      <w:marRight w:val="0"/>
      <w:marTop w:val="0"/>
      <w:marBottom w:val="0"/>
      <w:divBdr>
        <w:top w:val="none" w:sz="0" w:space="0" w:color="auto"/>
        <w:left w:val="none" w:sz="0" w:space="0" w:color="auto"/>
        <w:bottom w:val="none" w:sz="0" w:space="0" w:color="auto"/>
        <w:right w:val="none" w:sz="0" w:space="0" w:color="auto"/>
      </w:divBdr>
    </w:div>
    <w:div w:id="902104083">
      <w:bodyDiv w:val="1"/>
      <w:marLeft w:val="0"/>
      <w:marRight w:val="0"/>
      <w:marTop w:val="0"/>
      <w:marBottom w:val="0"/>
      <w:divBdr>
        <w:top w:val="none" w:sz="0" w:space="0" w:color="auto"/>
        <w:left w:val="none" w:sz="0" w:space="0" w:color="auto"/>
        <w:bottom w:val="none" w:sz="0" w:space="0" w:color="auto"/>
        <w:right w:val="none" w:sz="0" w:space="0" w:color="auto"/>
      </w:divBdr>
    </w:div>
    <w:div w:id="940797357">
      <w:bodyDiv w:val="1"/>
      <w:marLeft w:val="0"/>
      <w:marRight w:val="0"/>
      <w:marTop w:val="0"/>
      <w:marBottom w:val="0"/>
      <w:divBdr>
        <w:top w:val="none" w:sz="0" w:space="0" w:color="auto"/>
        <w:left w:val="none" w:sz="0" w:space="0" w:color="auto"/>
        <w:bottom w:val="none" w:sz="0" w:space="0" w:color="auto"/>
        <w:right w:val="none" w:sz="0" w:space="0" w:color="auto"/>
      </w:divBdr>
    </w:div>
    <w:div w:id="946232802">
      <w:bodyDiv w:val="1"/>
      <w:marLeft w:val="0"/>
      <w:marRight w:val="0"/>
      <w:marTop w:val="0"/>
      <w:marBottom w:val="0"/>
      <w:divBdr>
        <w:top w:val="none" w:sz="0" w:space="0" w:color="auto"/>
        <w:left w:val="none" w:sz="0" w:space="0" w:color="auto"/>
        <w:bottom w:val="none" w:sz="0" w:space="0" w:color="auto"/>
        <w:right w:val="none" w:sz="0" w:space="0" w:color="auto"/>
      </w:divBdr>
    </w:div>
    <w:div w:id="977105262">
      <w:bodyDiv w:val="1"/>
      <w:marLeft w:val="0"/>
      <w:marRight w:val="0"/>
      <w:marTop w:val="0"/>
      <w:marBottom w:val="0"/>
      <w:divBdr>
        <w:top w:val="none" w:sz="0" w:space="0" w:color="auto"/>
        <w:left w:val="none" w:sz="0" w:space="0" w:color="auto"/>
        <w:bottom w:val="none" w:sz="0" w:space="0" w:color="auto"/>
        <w:right w:val="none" w:sz="0" w:space="0" w:color="auto"/>
      </w:divBdr>
    </w:div>
    <w:div w:id="994334225">
      <w:bodyDiv w:val="1"/>
      <w:marLeft w:val="0"/>
      <w:marRight w:val="0"/>
      <w:marTop w:val="0"/>
      <w:marBottom w:val="0"/>
      <w:divBdr>
        <w:top w:val="none" w:sz="0" w:space="0" w:color="auto"/>
        <w:left w:val="none" w:sz="0" w:space="0" w:color="auto"/>
        <w:bottom w:val="none" w:sz="0" w:space="0" w:color="auto"/>
        <w:right w:val="none" w:sz="0" w:space="0" w:color="auto"/>
      </w:divBdr>
    </w:div>
    <w:div w:id="1024592674">
      <w:bodyDiv w:val="1"/>
      <w:marLeft w:val="0"/>
      <w:marRight w:val="0"/>
      <w:marTop w:val="0"/>
      <w:marBottom w:val="0"/>
      <w:divBdr>
        <w:top w:val="none" w:sz="0" w:space="0" w:color="auto"/>
        <w:left w:val="none" w:sz="0" w:space="0" w:color="auto"/>
        <w:bottom w:val="none" w:sz="0" w:space="0" w:color="auto"/>
        <w:right w:val="none" w:sz="0" w:space="0" w:color="auto"/>
      </w:divBdr>
    </w:div>
    <w:div w:id="1139152161">
      <w:bodyDiv w:val="1"/>
      <w:marLeft w:val="0"/>
      <w:marRight w:val="0"/>
      <w:marTop w:val="0"/>
      <w:marBottom w:val="0"/>
      <w:divBdr>
        <w:top w:val="none" w:sz="0" w:space="0" w:color="auto"/>
        <w:left w:val="none" w:sz="0" w:space="0" w:color="auto"/>
        <w:bottom w:val="none" w:sz="0" w:space="0" w:color="auto"/>
        <w:right w:val="none" w:sz="0" w:space="0" w:color="auto"/>
      </w:divBdr>
    </w:div>
    <w:div w:id="1200246408">
      <w:bodyDiv w:val="1"/>
      <w:marLeft w:val="0"/>
      <w:marRight w:val="0"/>
      <w:marTop w:val="0"/>
      <w:marBottom w:val="0"/>
      <w:divBdr>
        <w:top w:val="none" w:sz="0" w:space="0" w:color="auto"/>
        <w:left w:val="none" w:sz="0" w:space="0" w:color="auto"/>
        <w:bottom w:val="none" w:sz="0" w:space="0" w:color="auto"/>
        <w:right w:val="none" w:sz="0" w:space="0" w:color="auto"/>
      </w:divBdr>
    </w:div>
    <w:div w:id="1215198496">
      <w:bodyDiv w:val="1"/>
      <w:marLeft w:val="0"/>
      <w:marRight w:val="0"/>
      <w:marTop w:val="0"/>
      <w:marBottom w:val="0"/>
      <w:divBdr>
        <w:top w:val="none" w:sz="0" w:space="0" w:color="auto"/>
        <w:left w:val="none" w:sz="0" w:space="0" w:color="auto"/>
        <w:bottom w:val="none" w:sz="0" w:space="0" w:color="auto"/>
        <w:right w:val="none" w:sz="0" w:space="0" w:color="auto"/>
      </w:divBdr>
    </w:div>
    <w:div w:id="1229463926">
      <w:bodyDiv w:val="1"/>
      <w:marLeft w:val="0"/>
      <w:marRight w:val="0"/>
      <w:marTop w:val="0"/>
      <w:marBottom w:val="0"/>
      <w:divBdr>
        <w:top w:val="none" w:sz="0" w:space="0" w:color="auto"/>
        <w:left w:val="none" w:sz="0" w:space="0" w:color="auto"/>
        <w:bottom w:val="none" w:sz="0" w:space="0" w:color="auto"/>
        <w:right w:val="none" w:sz="0" w:space="0" w:color="auto"/>
      </w:divBdr>
    </w:div>
    <w:div w:id="1264269110">
      <w:bodyDiv w:val="1"/>
      <w:marLeft w:val="0"/>
      <w:marRight w:val="0"/>
      <w:marTop w:val="0"/>
      <w:marBottom w:val="0"/>
      <w:divBdr>
        <w:top w:val="none" w:sz="0" w:space="0" w:color="auto"/>
        <w:left w:val="none" w:sz="0" w:space="0" w:color="auto"/>
        <w:bottom w:val="none" w:sz="0" w:space="0" w:color="auto"/>
        <w:right w:val="none" w:sz="0" w:space="0" w:color="auto"/>
      </w:divBdr>
    </w:div>
    <w:div w:id="1399939649">
      <w:bodyDiv w:val="1"/>
      <w:marLeft w:val="0"/>
      <w:marRight w:val="0"/>
      <w:marTop w:val="0"/>
      <w:marBottom w:val="0"/>
      <w:divBdr>
        <w:top w:val="none" w:sz="0" w:space="0" w:color="auto"/>
        <w:left w:val="none" w:sz="0" w:space="0" w:color="auto"/>
        <w:bottom w:val="none" w:sz="0" w:space="0" w:color="auto"/>
        <w:right w:val="none" w:sz="0" w:space="0" w:color="auto"/>
      </w:divBdr>
    </w:div>
    <w:div w:id="1546676131">
      <w:bodyDiv w:val="1"/>
      <w:marLeft w:val="0"/>
      <w:marRight w:val="0"/>
      <w:marTop w:val="0"/>
      <w:marBottom w:val="0"/>
      <w:divBdr>
        <w:top w:val="none" w:sz="0" w:space="0" w:color="auto"/>
        <w:left w:val="none" w:sz="0" w:space="0" w:color="auto"/>
        <w:bottom w:val="none" w:sz="0" w:space="0" w:color="auto"/>
        <w:right w:val="none" w:sz="0" w:space="0" w:color="auto"/>
      </w:divBdr>
    </w:div>
    <w:div w:id="1652519941">
      <w:bodyDiv w:val="1"/>
      <w:marLeft w:val="0"/>
      <w:marRight w:val="0"/>
      <w:marTop w:val="0"/>
      <w:marBottom w:val="0"/>
      <w:divBdr>
        <w:top w:val="none" w:sz="0" w:space="0" w:color="auto"/>
        <w:left w:val="none" w:sz="0" w:space="0" w:color="auto"/>
        <w:bottom w:val="none" w:sz="0" w:space="0" w:color="auto"/>
        <w:right w:val="none" w:sz="0" w:space="0" w:color="auto"/>
      </w:divBdr>
    </w:div>
    <w:div w:id="1671836047">
      <w:bodyDiv w:val="1"/>
      <w:marLeft w:val="0"/>
      <w:marRight w:val="0"/>
      <w:marTop w:val="0"/>
      <w:marBottom w:val="0"/>
      <w:divBdr>
        <w:top w:val="none" w:sz="0" w:space="0" w:color="auto"/>
        <w:left w:val="none" w:sz="0" w:space="0" w:color="auto"/>
        <w:bottom w:val="none" w:sz="0" w:space="0" w:color="auto"/>
        <w:right w:val="none" w:sz="0" w:space="0" w:color="auto"/>
      </w:divBdr>
    </w:div>
    <w:div w:id="1702777430">
      <w:bodyDiv w:val="1"/>
      <w:marLeft w:val="0"/>
      <w:marRight w:val="0"/>
      <w:marTop w:val="0"/>
      <w:marBottom w:val="0"/>
      <w:divBdr>
        <w:top w:val="none" w:sz="0" w:space="0" w:color="auto"/>
        <w:left w:val="none" w:sz="0" w:space="0" w:color="auto"/>
        <w:bottom w:val="none" w:sz="0" w:space="0" w:color="auto"/>
        <w:right w:val="none" w:sz="0" w:space="0" w:color="auto"/>
      </w:divBdr>
    </w:div>
    <w:div w:id="1824852938">
      <w:bodyDiv w:val="1"/>
      <w:marLeft w:val="0"/>
      <w:marRight w:val="0"/>
      <w:marTop w:val="0"/>
      <w:marBottom w:val="0"/>
      <w:divBdr>
        <w:top w:val="none" w:sz="0" w:space="0" w:color="auto"/>
        <w:left w:val="none" w:sz="0" w:space="0" w:color="auto"/>
        <w:bottom w:val="none" w:sz="0" w:space="0" w:color="auto"/>
        <w:right w:val="none" w:sz="0" w:space="0" w:color="auto"/>
      </w:divBdr>
    </w:div>
    <w:div w:id="1891183136">
      <w:bodyDiv w:val="1"/>
      <w:marLeft w:val="0"/>
      <w:marRight w:val="0"/>
      <w:marTop w:val="0"/>
      <w:marBottom w:val="0"/>
      <w:divBdr>
        <w:top w:val="none" w:sz="0" w:space="0" w:color="auto"/>
        <w:left w:val="none" w:sz="0" w:space="0" w:color="auto"/>
        <w:bottom w:val="none" w:sz="0" w:space="0" w:color="auto"/>
        <w:right w:val="none" w:sz="0" w:space="0" w:color="auto"/>
      </w:divBdr>
    </w:div>
    <w:div w:id="1948541145">
      <w:bodyDiv w:val="1"/>
      <w:marLeft w:val="0"/>
      <w:marRight w:val="0"/>
      <w:marTop w:val="0"/>
      <w:marBottom w:val="0"/>
      <w:divBdr>
        <w:top w:val="none" w:sz="0" w:space="0" w:color="auto"/>
        <w:left w:val="none" w:sz="0" w:space="0" w:color="auto"/>
        <w:bottom w:val="none" w:sz="0" w:space="0" w:color="auto"/>
        <w:right w:val="none" w:sz="0" w:space="0" w:color="auto"/>
      </w:divBdr>
    </w:div>
    <w:div w:id="2060932207">
      <w:bodyDiv w:val="1"/>
      <w:marLeft w:val="0"/>
      <w:marRight w:val="0"/>
      <w:marTop w:val="0"/>
      <w:marBottom w:val="0"/>
      <w:divBdr>
        <w:top w:val="none" w:sz="0" w:space="0" w:color="auto"/>
        <w:left w:val="none" w:sz="0" w:space="0" w:color="auto"/>
        <w:bottom w:val="none" w:sz="0" w:space="0" w:color="auto"/>
        <w:right w:val="none" w:sz="0" w:space="0" w:color="auto"/>
      </w:divBdr>
    </w:div>
    <w:div w:id="211250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62E777D24186BA5AF3DCE811F7932F976782D717DE020955D6755DA45F25A50C5CD65D1901CB569B301EA95464ODJ" TargetMode="External"/><Relationship Id="rId5" Type="http://schemas.openxmlformats.org/officeDocument/2006/relationships/webSettings" Target="webSettings.xml"/><Relationship Id="rId10" Type="http://schemas.openxmlformats.org/officeDocument/2006/relationships/hyperlink" Target="consultantplus://offline/ref=0899067CED93E806D72B59C8494A484FC08BFDF5680D045F369FB4141A3935194DBB6AC533C07EF7rFw9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96A35-0C0F-48B7-94E1-4A0694A80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9797</Words>
  <Characters>55843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65509</CharactersWithSpaces>
  <SharedDoc>false</SharedDoc>
  <HLinks>
    <vt:vector size="12" baseType="variant">
      <vt:variant>
        <vt:i4>1572870</vt:i4>
      </vt:variant>
      <vt:variant>
        <vt:i4>3</vt:i4>
      </vt:variant>
      <vt:variant>
        <vt:i4>0</vt:i4>
      </vt:variant>
      <vt:variant>
        <vt:i4>5</vt:i4>
      </vt:variant>
      <vt:variant>
        <vt:lpwstr>consultantplus://offline/ref=1C62E777D24186BA5AF3DCE811F7932F976782D717DE020955D6755DA45F25A50C5CD65D1901CB569B301EA95464ODJ</vt:lpwstr>
      </vt:variant>
      <vt:variant>
        <vt:lpwstr/>
      </vt:variant>
      <vt:variant>
        <vt:i4>2228331</vt:i4>
      </vt:variant>
      <vt:variant>
        <vt:i4>0</vt:i4>
      </vt:variant>
      <vt:variant>
        <vt:i4>0</vt:i4>
      </vt:variant>
      <vt:variant>
        <vt:i4>5</vt:i4>
      </vt:variant>
      <vt:variant>
        <vt:lpwstr>consultantplus://offline/ref=0899067CED93E806D72B59C8494A484FC08BFDF5680D045F369FB4141A3935194DBB6AC533C07EF7rFw9G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Ярикова Татьяна Валерьевна</dc:creator>
  <cp:lastModifiedBy>Pevneva</cp:lastModifiedBy>
  <cp:revision>10</cp:revision>
  <cp:lastPrinted>2020-04-29T02:05:00Z</cp:lastPrinted>
  <dcterms:created xsi:type="dcterms:W3CDTF">2020-04-29T01:12:00Z</dcterms:created>
  <dcterms:modified xsi:type="dcterms:W3CDTF">2020-04-29T02:06:00Z</dcterms:modified>
</cp:coreProperties>
</file>