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1A3" w:rsidRPr="000771E7" w:rsidRDefault="007851A3" w:rsidP="004A0E07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  <w:r w:rsidRPr="000771E7">
        <w:rPr>
          <w:sz w:val="26"/>
          <w:szCs w:val="26"/>
        </w:rPr>
        <w:t xml:space="preserve">Приложение </w:t>
      </w:r>
      <w:r w:rsidR="007B6848">
        <w:rPr>
          <w:sz w:val="26"/>
          <w:szCs w:val="26"/>
        </w:rPr>
        <w:t xml:space="preserve">№1 </w:t>
      </w:r>
      <w:r w:rsidRPr="000771E7">
        <w:rPr>
          <w:sz w:val="26"/>
          <w:szCs w:val="26"/>
        </w:rPr>
        <w:t>к постановлению</w:t>
      </w:r>
    </w:p>
    <w:p w:rsidR="007851A3" w:rsidRPr="000771E7" w:rsidRDefault="007851A3" w:rsidP="004A0E07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  <w:r w:rsidRPr="000771E7">
        <w:rPr>
          <w:sz w:val="26"/>
          <w:szCs w:val="26"/>
        </w:rPr>
        <w:t xml:space="preserve">Администрации </w:t>
      </w:r>
      <w:proofErr w:type="gramStart"/>
      <w:r w:rsidRPr="000771E7">
        <w:rPr>
          <w:sz w:val="26"/>
          <w:szCs w:val="26"/>
        </w:rPr>
        <w:t>муниципального</w:t>
      </w:r>
      <w:proofErr w:type="gramEnd"/>
    </w:p>
    <w:p w:rsidR="007851A3" w:rsidRPr="000771E7" w:rsidRDefault="007851A3" w:rsidP="004A0E07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  <w:r w:rsidRPr="000771E7">
        <w:rPr>
          <w:sz w:val="26"/>
          <w:szCs w:val="26"/>
        </w:rPr>
        <w:t>образования город Саяногорск</w:t>
      </w:r>
    </w:p>
    <w:p w:rsidR="007851A3" w:rsidRPr="005F2998" w:rsidRDefault="007851A3" w:rsidP="004A0E07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  <w:u w:val="single"/>
        </w:rPr>
      </w:pPr>
      <w:r w:rsidRPr="000771E7">
        <w:rPr>
          <w:sz w:val="26"/>
          <w:szCs w:val="26"/>
        </w:rPr>
        <w:t xml:space="preserve">от </w:t>
      </w:r>
      <w:r w:rsidR="005F2998" w:rsidRPr="005F2998">
        <w:rPr>
          <w:sz w:val="26"/>
          <w:szCs w:val="26"/>
          <w:u w:val="single"/>
        </w:rPr>
        <w:t>08.04.2024</w:t>
      </w:r>
      <w:r w:rsidRPr="005F2998">
        <w:rPr>
          <w:sz w:val="26"/>
          <w:szCs w:val="26"/>
          <w:u w:val="single"/>
        </w:rPr>
        <w:t xml:space="preserve"> </w:t>
      </w:r>
      <w:r w:rsidRPr="000771E7">
        <w:rPr>
          <w:sz w:val="26"/>
          <w:szCs w:val="26"/>
        </w:rPr>
        <w:t xml:space="preserve">№ </w:t>
      </w:r>
      <w:r w:rsidR="005F2998" w:rsidRPr="005F2998">
        <w:rPr>
          <w:sz w:val="26"/>
          <w:szCs w:val="26"/>
          <w:u w:val="single"/>
        </w:rPr>
        <w:t>234</w:t>
      </w:r>
    </w:p>
    <w:p w:rsidR="00934967" w:rsidRDefault="00934967" w:rsidP="004A0E0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40AB7" w:rsidRDefault="00740AB7" w:rsidP="004A0E0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40AB7" w:rsidRDefault="00740AB7" w:rsidP="00740AB7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rFonts w:eastAsiaTheme="minorHAnsi"/>
          <w:b/>
          <w:bCs/>
          <w:sz w:val="26"/>
          <w:szCs w:val="26"/>
          <w:lang w:eastAsia="en-US"/>
        </w:rPr>
        <w:t>ПРАВИЛА</w:t>
      </w:r>
    </w:p>
    <w:p w:rsidR="0038168B" w:rsidRPr="0038168B" w:rsidRDefault="00740AB7" w:rsidP="00740AB7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38168B">
        <w:rPr>
          <w:rFonts w:eastAsiaTheme="minorHAnsi"/>
          <w:b/>
          <w:bCs/>
          <w:sz w:val="26"/>
          <w:szCs w:val="26"/>
          <w:lang w:eastAsia="en-US"/>
        </w:rPr>
        <w:t>принятия решений о предоставлении субсидий или</w:t>
      </w:r>
      <w:r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Pr="0038168B">
        <w:rPr>
          <w:rFonts w:eastAsiaTheme="minorHAnsi"/>
          <w:b/>
          <w:bCs/>
          <w:sz w:val="26"/>
          <w:szCs w:val="26"/>
          <w:lang w:eastAsia="en-US"/>
        </w:rPr>
        <w:t xml:space="preserve">об </w:t>
      </w:r>
      <w:r>
        <w:rPr>
          <w:rFonts w:eastAsiaTheme="minorHAnsi"/>
          <w:b/>
          <w:bCs/>
          <w:sz w:val="26"/>
          <w:szCs w:val="26"/>
          <w:lang w:eastAsia="en-US"/>
        </w:rPr>
        <w:t>о</w:t>
      </w:r>
      <w:r w:rsidRPr="0038168B">
        <w:rPr>
          <w:rFonts w:eastAsiaTheme="minorHAnsi"/>
          <w:b/>
          <w:bCs/>
          <w:sz w:val="26"/>
          <w:szCs w:val="26"/>
          <w:lang w:eastAsia="en-US"/>
        </w:rPr>
        <w:t>существлении бюджетных инвестиций на подготовку</w:t>
      </w:r>
      <w:r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Pr="0038168B">
        <w:rPr>
          <w:rFonts w:eastAsiaTheme="minorHAnsi"/>
          <w:b/>
          <w:bCs/>
          <w:sz w:val="26"/>
          <w:szCs w:val="26"/>
          <w:lang w:eastAsia="en-US"/>
        </w:rPr>
        <w:t>обоснования инвестиций и проведение</w:t>
      </w:r>
      <w:r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Pr="0038168B">
        <w:rPr>
          <w:rFonts w:eastAsiaTheme="minorHAnsi"/>
          <w:b/>
          <w:bCs/>
          <w:sz w:val="26"/>
          <w:szCs w:val="26"/>
          <w:lang w:eastAsia="en-US"/>
        </w:rPr>
        <w:t>его технологического и ценового аудита</w:t>
      </w:r>
    </w:p>
    <w:p w:rsidR="0038168B" w:rsidRDefault="0038168B" w:rsidP="00740AB7">
      <w:pPr>
        <w:autoSpaceDE w:val="0"/>
        <w:autoSpaceDN w:val="0"/>
        <w:adjustRightInd w:val="0"/>
        <w:contextualSpacing/>
        <w:rPr>
          <w:rFonts w:eastAsiaTheme="minorHAnsi"/>
          <w:sz w:val="26"/>
          <w:szCs w:val="26"/>
          <w:lang w:eastAsia="en-US"/>
        </w:rPr>
      </w:pPr>
    </w:p>
    <w:p w:rsidR="001974F2" w:rsidRPr="0038168B" w:rsidRDefault="001974F2" w:rsidP="00740AB7">
      <w:pPr>
        <w:autoSpaceDE w:val="0"/>
        <w:autoSpaceDN w:val="0"/>
        <w:adjustRightInd w:val="0"/>
        <w:contextualSpacing/>
        <w:rPr>
          <w:rFonts w:eastAsiaTheme="minorHAnsi"/>
          <w:sz w:val="26"/>
          <w:szCs w:val="26"/>
          <w:lang w:eastAsia="en-US"/>
        </w:rPr>
      </w:pP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1.</w:t>
      </w:r>
      <w:r w:rsidR="008047B5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>Настоящие Правила устанавливают порядок принятия решений: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а)</w:t>
      </w:r>
      <w:r w:rsidR="008047B5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 xml:space="preserve">о предоставлении субсидий из бюджета муниципального образования </w:t>
      </w:r>
      <w:r w:rsidR="008F2FA1">
        <w:rPr>
          <w:rFonts w:eastAsiaTheme="minorHAnsi"/>
          <w:sz w:val="26"/>
          <w:szCs w:val="26"/>
          <w:lang w:eastAsia="en-US"/>
        </w:rPr>
        <w:t xml:space="preserve">город Саяногорск </w:t>
      </w:r>
      <w:r w:rsidRPr="0038168B">
        <w:rPr>
          <w:rFonts w:eastAsiaTheme="minorHAnsi"/>
          <w:sz w:val="26"/>
          <w:szCs w:val="26"/>
          <w:lang w:eastAsia="en-US"/>
        </w:rPr>
        <w:t xml:space="preserve">муниципальным бюджетным учреждениям </w:t>
      </w:r>
      <w:r w:rsidR="008F2FA1">
        <w:rPr>
          <w:rFonts w:eastAsiaTheme="minorHAnsi"/>
          <w:sz w:val="26"/>
          <w:szCs w:val="26"/>
          <w:lang w:eastAsia="en-US"/>
        </w:rPr>
        <w:t xml:space="preserve">муниципального образования город Саяногорск </w:t>
      </w:r>
      <w:r w:rsidRPr="0038168B">
        <w:rPr>
          <w:rFonts w:eastAsiaTheme="minorHAnsi"/>
          <w:sz w:val="26"/>
          <w:szCs w:val="26"/>
          <w:lang w:eastAsia="en-US"/>
        </w:rPr>
        <w:t xml:space="preserve">и муниципальным автономным учреждениям </w:t>
      </w:r>
      <w:r w:rsidR="008F2FA1">
        <w:rPr>
          <w:rFonts w:eastAsiaTheme="minorHAnsi"/>
          <w:sz w:val="26"/>
          <w:szCs w:val="26"/>
          <w:lang w:eastAsia="en-US"/>
        </w:rPr>
        <w:t xml:space="preserve">муниципального образования город Саяногорск </w:t>
      </w:r>
      <w:r w:rsidR="008F2FA1" w:rsidRPr="0038168B">
        <w:rPr>
          <w:rFonts w:eastAsiaTheme="minorHAnsi"/>
          <w:sz w:val="26"/>
          <w:szCs w:val="26"/>
          <w:lang w:eastAsia="en-US"/>
        </w:rPr>
        <w:t xml:space="preserve">(далее </w:t>
      </w:r>
      <w:r w:rsidR="008F2FA1">
        <w:rPr>
          <w:rFonts w:eastAsiaTheme="minorHAnsi"/>
          <w:sz w:val="26"/>
          <w:szCs w:val="26"/>
          <w:lang w:eastAsia="en-US"/>
        </w:rPr>
        <w:t>–</w:t>
      </w:r>
      <w:r w:rsidR="008F2FA1" w:rsidRPr="0038168B">
        <w:rPr>
          <w:rFonts w:eastAsiaTheme="minorHAnsi"/>
          <w:sz w:val="26"/>
          <w:szCs w:val="26"/>
          <w:lang w:eastAsia="en-US"/>
        </w:rPr>
        <w:t xml:space="preserve"> </w:t>
      </w:r>
      <w:r w:rsidR="008F2FA1">
        <w:rPr>
          <w:rFonts w:eastAsiaTheme="minorHAnsi"/>
          <w:sz w:val="26"/>
          <w:szCs w:val="26"/>
          <w:lang w:eastAsia="en-US"/>
        </w:rPr>
        <w:t>учреждения</w:t>
      </w:r>
      <w:r w:rsidR="008F2FA1" w:rsidRPr="0038168B">
        <w:rPr>
          <w:rFonts w:eastAsiaTheme="minorHAnsi"/>
          <w:sz w:val="26"/>
          <w:szCs w:val="26"/>
          <w:lang w:eastAsia="en-US"/>
        </w:rPr>
        <w:t>)</w:t>
      </w:r>
      <w:r w:rsidRPr="0038168B">
        <w:rPr>
          <w:rFonts w:eastAsiaTheme="minorHAnsi"/>
          <w:sz w:val="26"/>
          <w:szCs w:val="26"/>
          <w:lang w:eastAsia="en-US"/>
        </w:rPr>
        <w:t xml:space="preserve">, а также муниципальным унитарным предприятиям </w:t>
      </w:r>
      <w:r w:rsidR="008F2FA1">
        <w:rPr>
          <w:rFonts w:eastAsiaTheme="minorHAnsi"/>
          <w:sz w:val="26"/>
          <w:szCs w:val="26"/>
          <w:lang w:eastAsia="en-US"/>
        </w:rPr>
        <w:t>муниципального образования город Саяногорск</w:t>
      </w:r>
      <w:r w:rsidRPr="0038168B">
        <w:rPr>
          <w:rFonts w:eastAsiaTheme="minorHAnsi"/>
          <w:sz w:val="26"/>
          <w:szCs w:val="26"/>
          <w:lang w:eastAsia="en-US"/>
        </w:rPr>
        <w:t xml:space="preserve"> (далее </w:t>
      </w:r>
      <w:r w:rsidR="008F2FA1">
        <w:rPr>
          <w:rFonts w:eastAsiaTheme="minorHAnsi"/>
          <w:sz w:val="26"/>
          <w:szCs w:val="26"/>
          <w:lang w:eastAsia="en-US"/>
        </w:rPr>
        <w:t>–</w:t>
      </w:r>
      <w:r w:rsidRPr="0038168B">
        <w:rPr>
          <w:rFonts w:eastAsiaTheme="minorHAnsi"/>
          <w:sz w:val="26"/>
          <w:szCs w:val="26"/>
          <w:lang w:eastAsia="en-US"/>
        </w:rPr>
        <w:t xml:space="preserve"> предприяти</w:t>
      </w:r>
      <w:r w:rsidR="008F2FA1">
        <w:rPr>
          <w:rFonts w:eastAsiaTheme="minorHAnsi"/>
          <w:sz w:val="26"/>
          <w:szCs w:val="26"/>
          <w:lang w:eastAsia="en-US"/>
        </w:rPr>
        <w:t>я</w:t>
      </w:r>
      <w:r w:rsidRPr="0038168B">
        <w:rPr>
          <w:rFonts w:eastAsiaTheme="minorHAnsi"/>
          <w:sz w:val="26"/>
          <w:szCs w:val="26"/>
          <w:lang w:eastAsia="en-US"/>
        </w:rPr>
        <w:t xml:space="preserve">), на подготовку обоснования инвестиций и проведение его технологического и ценового аудита в отношении объектов капитального строительства, которые находятся (будут находиться) в муниципальной собственности </w:t>
      </w:r>
      <w:r w:rsidR="008F2FA1">
        <w:rPr>
          <w:rFonts w:eastAsiaTheme="minorHAnsi"/>
          <w:sz w:val="26"/>
          <w:szCs w:val="26"/>
          <w:lang w:eastAsia="en-US"/>
        </w:rPr>
        <w:t>муниципального образования город Саяногорск</w:t>
      </w:r>
      <w:r w:rsidRPr="0038168B">
        <w:rPr>
          <w:rFonts w:eastAsiaTheme="minorHAnsi"/>
          <w:sz w:val="26"/>
          <w:szCs w:val="26"/>
          <w:lang w:eastAsia="en-US"/>
        </w:rPr>
        <w:t xml:space="preserve"> (далее - объекты капитального строительства), в случае, если подготовка такого обоснования является обязательной в соответствии с законодательством Российской Федерации (далее - субсидии);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б)</w:t>
      </w:r>
      <w:r w:rsidR="008047B5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 xml:space="preserve">об осуществлении бюджетных инвестиций из бюджета муниципального образования </w:t>
      </w:r>
      <w:r w:rsidR="008047B5">
        <w:rPr>
          <w:rFonts w:eastAsiaTheme="minorHAnsi"/>
          <w:sz w:val="26"/>
          <w:szCs w:val="26"/>
          <w:lang w:eastAsia="en-US"/>
        </w:rPr>
        <w:t xml:space="preserve">город Саяногорск </w:t>
      </w:r>
      <w:r w:rsidRPr="0038168B">
        <w:rPr>
          <w:rFonts w:eastAsiaTheme="minorHAnsi"/>
          <w:sz w:val="26"/>
          <w:szCs w:val="26"/>
          <w:lang w:eastAsia="en-US"/>
        </w:rPr>
        <w:t>учреждения</w:t>
      </w:r>
      <w:r w:rsidR="008047B5">
        <w:rPr>
          <w:rFonts w:eastAsiaTheme="minorHAnsi"/>
          <w:sz w:val="26"/>
          <w:szCs w:val="26"/>
          <w:lang w:eastAsia="en-US"/>
        </w:rPr>
        <w:t>м и</w:t>
      </w:r>
      <w:r w:rsidRPr="0038168B">
        <w:rPr>
          <w:rFonts w:eastAsiaTheme="minorHAnsi"/>
          <w:sz w:val="26"/>
          <w:szCs w:val="26"/>
          <w:lang w:eastAsia="en-US"/>
        </w:rPr>
        <w:t xml:space="preserve"> предприятиям на подготовку обоснования инвестиций и проведение его технологического и ценового аудита в отношении объектов капитального строительства в случае, если подготовка такого обоснования является обязательной в соответствии с законодательством Российской Федерации (далее - бюджетные инвестиции).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2.</w:t>
      </w:r>
      <w:r w:rsidR="008047B5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 xml:space="preserve">Решение о предоставлении субсидий или решение об осуществлении бюджетных инвестиций (далее - решение) в отношении объектов капитального строительства принимается посредством принятия муниципального правового акта </w:t>
      </w:r>
      <w:r w:rsidR="008047B5">
        <w:rPr>
          <w:rFonts w:eastAsiaTheme="minorHAnsi"/>
          <w:sz w:val="26"/>
          <w:szCs w:val="26"/>
          <w:lang w:eastAsia="en-US"/>
        </w:rPr>
        <w:t xml:space="preserve">Администрации муниципального образования </w:t>
      </w:r>
      <w:proofErr w:type="spellStart"/>
      <w:r w:rsidR="008047B5">
        <w:rPr>
          <w:rFonts w:eastAsiaTheme="minorHAnsi"/>
          <w:sz w:val="26"/>
          <w:szCs w:val="26"/>
          <w:lang w:eastAsia="en-US"/>
        </w:rPr>
        <w:t>г</w:t>
      </w:r>
      <w:proofErr w:type="gramStart"/>
      <w:r w:rsidR="008047B5">
        <w:rPr>
          <w:rFonts w:eastAsiaTheme="minorHAnsi"/>
          <w:sz w:val="26"/>
          <w:szCs w:val="26"/>
          <w:lang w:eastAsia="en-US"/>
        </w:rPr>
        <w:t>.С</w:t>
      </w:r>
      <w:proofErr w:type="gramEnd"/>
      <w:r w:rsidR="008047B5">
        <w:rPr>
          <w:rFonts w:eastAsiaTheme="minorHAnsi"/>
          <w:sz w:val="26"/>
          <w:szCs w:val="26"/>
          <w:lang w:eastAsia="en-US"/>
        </w:rPr>
        <w:t>аяногорск</w:t>
      </w:r>
      <w:proofErr w:type="spellEnd"/>
      <w:r w:rsidRPr="0038168B">
        <w:rPr>
          <w:rFonts w:eastAsiaTheme="minorHAnsi"/>
          <w:sz w:val="26"/>
          <w:szCs w:val="26"/>
          <w:lang w:eastAsia="en-US"/>
        </w:rPr>
        <w:t>.</w:t>
      </w:r>
    </w:p>
    <w:p w:rsidR="0038168B" w:rsidRPr="0038168B" w:rsidRDefault="008047B5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3.</w:t>
      </w:r>
      <w:r>
        <w:rPr>
          <w:rFonts w:eastAsiaTheme="minorHAnsi"/>
          <w:sz w:val="26"/>
          <w:szCs w:val="26"/>
          <w:lang w:eastAsia="en-US"/>
        </w:rPr>
        <w:tab/>
      </w:r>
      <w:r w:rsidR="0038168B" w:rsidRPr="0038168B">
        <w:rPr>
          <w:rFonts w:eastAsiaTheme="minorHAnsi"/>
          <w:sz w:val="26"/>
          <w:szCs w:val="26"/>
          <w:lang w:eastAsia="en-US"/>
        </w:rPr>
        <w:t>Разработка проекта решения осуществляется с учетом норм настоящих Правил.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4.</w:t>
      </w:r>
      <w:r w:rsidR="008047B5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>Инициатором подготовки проекта решения выступает главный распорядитель бюджетных средств, наделенный в установленном действующим законодательством порядке полномочиями в соответствующей сфере ведения (далее - главный распорядитель).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5.</w:t>
      </w:r>
      <w:r w:rsidR="008047B5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>В проект решения может быть включено несколько объектов капитального строительства одного учреждения или предприятия, относящихся к одной сфере деятельности главного распорядителя.</w:t>
      </w:r>
    </w:p>
    <w:p w:rsidR="0038168B" w:rsidRPr="0038168B" w:rsidRDefault="00004B39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38168B" w:rsidRPr="0038168B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ab/>
      </w:r>
      <w:r w:rsidR="0038168B" w:rsidRPr="0038168B">
        <w:rPr>
          <w:rFonts w:eastAsiaTheme="minorHAnsi"/>
          <w:sz w:val="26"/>
          <w:szCs w:val="26"/>
          <w:lang w:eastAsia="en-US"/>
        </w:rPr>
        <w:t>Проект решения содержит следующую информацию в отношении каждого объекта капитального строительства: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а)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>наименование объекта капитального строительства;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lastRenderedPageBreak/>
        <w:t>б)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>направление инвестирования (строительство, реконструкция, в том числе с элементами реставрации, техническое перевооружение);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в)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>наименование главного распорядителя;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г)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>мощность (прирост мощности) объекта капитального строительства, подлежащая вводу в эксплуатацию;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д)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>срок подготовки обоснования инвестиций и проведения его технологического и ценового аудита;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е)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>общий (предельный) размер субсидий (объем бюджетных инвестиций) и его распределение по годам (в ценах соответствующих лет реализации инвестиционного проекта).</w:t>
      </w:r>
    </w:p>
    <w:p w:rsidR="0038168B" w:rsidRDefault="00004B39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7</w:t>
      </w:r>
      <w:r w:rsidR="0038168B" w:rsidRPr="0038168B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ab/>
      </w:r>
      <w:r w:rsidR="0038168B" w:rsidRPr="0038168B">
        <w:rPr>
          <w:rFonts w:eastAsiaTheme="minorHAnsi"/>
          <w:sz w:val="26"/>
          <w:szCs w:val="26"/>
          <w:lang w:eastAsia="en-US"/>
        </w:rPr>
        <w:t xml:space="preserve">Главный распорядитель </w:t>
      </w:r>
      <w:r w:rsidR="00C0192F">
        <w:rPr>
          <w:rFonts w:eastAsiaTheme="minorHAnsi"/>
          <w:sz w:val="26"/>
          <w:szCs w:val="26"/>
          <w:lang w:eastAsia="en-US"/>
        </w:rPr>
        <w:t>согласовывает с</w:t>
      </w:r>
      <w:r w:rsidR="0038168B" w:rsidRPr="0038168B">
        <w:rPr>
          <w:rFonts w:eastAsiaTheme="minorHAnsi"/>
          <w:sz w:val="26"/>
          <w:szCs w:val="26"/>
          <w:lang w:eastAsia="en-US"/>
        </w:rPr>
        <w:t xml:space="preserve"> </w:t>
      </w:r>
      <w:r w:rsidR="00CE5845">
        <w:rPr>
          <w:rFonts w:eastAsiaTheme="minorHAnsi"/>
          <w:sz w:val="26"/>
          <w:szCs w:val="26"/>
          <w:lang w:eastAsia="en-US"/>
        </w:rPr>
        <w:t xml:space="preserve">Департаментом архитектуры, градостроительства и недвижимости </w:t>
      </w:r>
      <w:proofErr w:type="spellStart"/>
      <w:r w:rsidR="00CE5845">
        <w:rPr>
          <w:rFonts w:eastAsiaTheme="minorHAnsi"/>
          <w:sz w:val="26"/>
          <w:szCs w:val="26"/>
          <w:lang w:eastAsia="en-US"/>
        </w:rPr>
        <w:t>г</w:t>
      </w:r>
      <w:proofErr w:type="gramStart"/>
      <w:r w:rsidR="00CE5845">
        <w:rPr>
          <w:rFonts w:eastAsiaTheme="minorHAnsi"/>
          <w:sz w:val="26"/>
          <w:szCs w:val="26"/>
          <w:lang w:eastAsia="en-US"/>
        </w:rPr>
        <w:t>.С</w:t>
      </w:r>
      <w:proofErr w:type="gramEnd"/>
      <w:r w:rsidR="00CE5845">
        <w:rPr>
          <w:rFonts w:eastAsiaTheme="minorHAnsi"/>
          <w:sz w:val="26"/>
          <w:szCs w:val="26"/>
          <w:lang w:eastAsia="en-US"/>
        </w:rPr>
        <w:t>аяногорска</w:t>
      </w:r>
      <w:proofErr w:type="spellEnd"/>
      <w:r w:rsidR="00B5604E">
        <w:rPr>
          <w:rFonts w:eastAsiaTheme="minorHAnsi"/>
          <w:sz w:val="26"/>
          <w:szCs w:val="26"/>
          <w:lang w:eastAsia="en-US"/>
        </w:rPr>
        <w:t xml:space="preserve"> и </w:t>
      </w:r>
      <w:r w:rsidR="00CE5845">
        <w:rPr>
          <w:rFonts w:eastAsiaTheme="minorHAnsi"/>
          <w:sz w:val="26"/>
          <w:szCs w:val="26"/>
          <w:lang w:eastAsia="en-US"/>
        </w:rPr>
        <w:t xml:space="preserve">Комитетом по ЖКХ и Т </w:t>
      </w:r>
      <w:proofErr w:type="spellStart"/>
      <w:r w:rsidR="00CE5845">
        <w:rPr>
          <w:rFonts w:eastAsiaTheme="minorHAnsi"/>
          <w:sz w:val="26"/>
          <w:szCs w:val="26"/>
          <w:lang w:eastAsia="en-US"/>
        </w:rPr>
        <w:t>г.Саяногорска</w:t>
      </w:r>
      <w:proofErr w:type="spellEnd"/>
      <w:r w:rsidR="00CE5845">
        <w:rPr>
          <w:rFonts w:eastAsiaTheme="minorHAnsi"/>
          <w:sz w:val="26"/>
          <w:szCs w:val="26"/>
          <w:lang w:eastAsia="en-US"/>
        </w:rPr>
        <w:t xml:space="preserve"> </w:t>
      </w:r>
      <w:r w:rsidR="0038168B" w:rsidRPr="0038168B">
        <w:rPr>
          <w:rFonts w:eastAsiaTheme="minorHAnsi"/>
          <w:sz w:val="26"/>
          <w:szCs w:val="26"/>
          <w:lang w:eastAsia="en-US"/>
        </w:rPr>
        <w:t xml:space="preserve">проект решения </w:t>
      </w:r>
      <w:r w:rsidR="00C0192F">
        <w:rPr>
          <w:rFonts w:eastAsiaTheme="minorHAnsi"/>
          <w:sz w:val="26"/>
          <w:szCs w:val="26"/>
          <w:lang w:eastAsia="en-US"/>
        </w:rPr>
        <w:t xml:space="preserve">и направляет его </w:t>
      </w:r>
      <w:r w:rsidR="0038168B" w:rsidRPr="0038168B">
        <w:rPr>
          <w:rFonts w:eastAsiaTheme="minorHAnsi"/>
          <w:sz w:val="26"/>
          <w:szCs w:val="26"/>
          <w:lang w:eastAsia="en-US"/>
        </w:rPr>
        <w:t xml:space="preserve">с пояснительной запиской и финансово-экономическим обоснованием </w:t>
      </w:r>
      <w:r w:rsidR="00CE5845">
        <w:rPr>
          <w:rFonts w:eastAsiaTheme="minorHAnsi"/>
          <w:sz w:val="26"/>
          <w:szCs w:val="26"/>
          <w:lang w:eastAsia="en-US"/>
        </w:rPr>
        <w:t xml:space="preserve">одновременно в Отдел экономики и развития Администрации муниципального образования </w:t>
      </w:r>
      <w:proofErr w:type="spellStart"/>
      <w:r w:rsidR="00CE5845">
        <w:rPr>
          <w:rFonts w:eastAsiaTheme="minorHAnsi"/>
          <w:sz w:val="26"/>
          <w:szCs w:val="26"/>
          <w:lang w:eastAsia="en-US"/>
        </w:rPr>
        <w:t>г.Саяногорск</w:t>
      </w:r>
      <w:proofErr w:type="spellEnd"/>
      <w:r w:rsidR="00CE5845">
        <w:rPr>
          <w:rFonts w:eastAsiaTheme="minorHAnsi"/>
          <w:sz w:val="26"/>
          <w:szCs w:val="26"/>
          <w:lang w:eastAsia="en-US"/>
        </w:rPr>
        <w:t xml:space="preserve"> и </w:t>
      </w:r>
      <w:r w:rsidR="0038168B" w:rsidRPr="0038168B">
        <w:rPr>
          <w:rFonts w:eastAsiaTheme="minorHAnsi"/>
          <w:sz w:val="26"/>
          <w:szCs w:val="26"/>
          <w:lang w:eastAsia="en-US"/>
        </w:rPr>
        <w:t xml:space="preserve">в </w:t>
      </w:r>
      <w:r w:rsidR="00CE5845">
        <w:rPr>
          <w:rFonts w:eastAsiaTheme="minorHAnsi"/>
          <w:sz w:val="26"/>
          <w:szCs w:val="26"/>
          <w:lang w:eastAsia="en-US"/>
        </w:rPr>
        <w:t xml:space="preserve">«Бюджетно-финансовое управление администрации города Саяногорска» </w:t>
      </w:r>
      <w:r w:rsidR="0038168B" w:rsidRPr="0038168B">
        <w:rPr>
          <w:rFonts w:eastAsiaTheme="minorHAnsi"/>
          <w:sz w:val="26"/>
          <w:szCs w:val="26"/>
          <w:lang w:eastAsia="en-US"/>
        </w:rPr>
        <w:t xml:space="preserve">не позднее чем за 2 месяца до установленного графиком разработки прогноза социально-экономического развития и проекта бюджета муниципального образования </w:t>
      </w:r>
      <w:r w:rsidR="00EF4788">
        <w:rPr>
          <w:rFonts w:eastAsiaTheme="minorHAnsi"/>
          <w:sz w:val="26"/>
          <w:szCs w:val="26"/>
          <w:lang w:eastAsia="en-US"/>
        </w:rPr>
        <w:t>город Саяногорск</w:t>
      </w:r>
      <w:r w:rsidR="0038168B" w:rsidRPr="0038168B">
        <w:rPr>
          <w:rFonts w:eastAsiaTheme="minorHAnsi"/>
          <w:sz w:val="26"/>
          <w:szCs w:val="26"/>
          <w:lang w:eastAsia="en-US"/>
        </w:rPr>
        <w:t xml:space="preserve"> на очередной финансовый год и плановый период, утвержденным муниципальным правовым актом </w:t>
      </w:r>
      <w:r w:rsidR="00EF4788">
        <w:rPr>
          <w:rFonts w:eastAsiaTheme="minorHAnsi"/>
          <w:sz w:val="26"/>
          <w:szCs w:val="26"/>
          <w:lang w:eastAsia="en-US"/>
        </w:rPr>
        <w:t xml:space="preserve">Администрации муниципального образования </w:t>
      </w:r>
      <w:proofErr w:type="spellStart"/>
      <w:r w:rsidR="00EF4788">
        <w:rPr>
          <w:rFonts w:eastAsiaTheme="minorHAnsi"/>
          <w:sz w:val="26"/>
          <w:szCs w:val="26"/>
          <w:lang w:eastAsia="en-US"/>
        </w:rPr>
        <w:t>г</w:t>
      </w:r>
      <w:proofErr w:type="gramStart"/>
      <w:r w:rsidR="00EF4788">
        <w:rPr>
          <w:rFonts w:eastAsiaTheme="minorHAnsi"/>
          <w:sz w:val="26"/>
          <w:szCs w:val="26"/>
          <w:lang w:eastAsia="en-US"/>
        </w:rPr>
        <w:t>.С</w:t>
      </w:r>
      <w:proofErr w:type="gramEnd"/>
      <w:r w:rsidR="00EF4788">
        <w:rPr>
          <w:rFonts w:eastAsiaTheme="minorHAnsi"/>
          <w:sz w:val="26"/>
          <w:szCs w:val="26"/>
          <w:lang w:eastAsia="en-US"/>
        </w:rPr>
        <w:t>аяногорск</w:t>
      </w:r>
      <w:proofErr w:type="spellEnd"/>
      <w:r w:rsidR="0038168B" w:rsidRPr="0038168B">
        <w:rPr>
          <w:rFonts w:eastAsiaTheme="minorHAnsi"/>
          <w:sz w:val="26"/>
          <w:szCs w:val="26"/>
          <w:lang w:eastAsia="en-US"/>
        </w:rPr>
        <w:t>, срока для представления перечня инвестиционных проектов в целях формирования проекта бюджета на очередной финансовый год и плановый период.</w:t>
      </w:r>
    </w:p>
    <w:p w:rsidR="0038168B" w:rsidRPr="0038168B" w:rsidRDefault="00004B39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8</w:t>
      </w:r>
      <w:r w:rsidR="0038168B" w:rsidRPr="0038168B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ab/>
      </w:r>
      <w:r w:rsidR="00B5604E">
        <w:rPr>
          <w:rFonts w:eastAsiaTheme="minorHAnsi"/>
          <w:sz w:val="26"/>
          <w:szCs w:val="26"/>
          <w:lang w:eastAsia="en-US"/>
        </w:rPr>
        <w:t xml:space="preserve">Отдел экономики и развития Администрации муниципального образования </w:t>
      </w:r>
      <w:proofErr w:type="spellStart"/>
      <w:r w:rsidR="00B5604E">
        <w:rPr>
          <w:rFonts w:eastAsiaTheme="minorHAnsi"/>
          <w:sz w:val="26"/>
          <w:szCs w:val="26"/>
          <w:lang w:eastAsia="en-US"/>
        </w:rPr>
        <w:t>г</w:t>
      </w:r>
      <w:proofErr w:type="gramStart"/>
      <w:r w:rsidR="00B5604E">
        <w:rPr>
          <w:rFonts w:eastAsiaTheme="minorHAnsi"/>
          <w:sz w:val="26"/>
          <w:szCs w:val="26"/>
          <w:lang w:eastAsia="en-US"/>
        </w:rPr>
        <w:t>.С</w:t>
      </w:r>
      <w:proofErr w:type="gramEnd"/>
      <w:r w:rsidR="00B5604E">
        <w:rPr>
          <w:rFonts w:eastAsiaTheme="minorHAnsi"/>
          <w:sz w:val="26"/>
          <w:szCs w:val="26"/>
          <w:lang w:eastAsia="en-US"/>
        </w:rPr>
        <w:t>аяногорск</w:t>
      </w:r>
      <w:proofErr w:type="spellEnd"/>
      <w:r w:rsidR="00B5604E" w:rsidRPr="0038168B">
        <w:rPr>
          <w:rFonts w:eastAsiaTheme="minorHAnsi"/>
          <w:sz w:val="26"/>
          <w:szCs w:val="26"/>
          <w:lang w:eastAsia="en-US"/>
        </w:rPr>
        <w:t xml:space="preserve"> </w:t>
      </w:r>
      <w:r w:rsidR="0038168B" w:rsidRPr="0038168B">
        <w:rPr>
          <w:rFonts w:eastAsiaTheme="minorHAnsi"/>
          <w:sz w:val="26"/>
          <w:szCs w:val="26"/>
          <w:lang w:eastAsia="en-US"/>
        </w:rPr>
        <w:t xml:space="preserve">согласовывает проект решения в части, касающейся его соответствия документам стратегического планирования муниципального образования </w:t>
      </w:r>
      <w:r w:rsidR="00B5604E">
        <w:rPr>
          <w:rFonts w:eastAsiaTheme="minorHAnsi"/>
          <w:sz w:val="26"/>
          <w:szCs w:val="26"/>
          <w:lang w:eastAsia="en-US"/>
        </w:rPr>
        <w:t>город Саяногорск</w:t>
      </w:r>
      <w:r w:rsidR="0038168B" w:rsidRPr="0038168B">
        <w:rPr>
          <w:rFonts w:eastAsiaTheme="minorHAnsi"/>
          <w:sz w:val="26"/>
          <w:szCs w:val="26"/>
          <w:lang w:eastAsia="en-US"/>
        </w:rPr>
        <w:t xml:space="preserve">, а также инвестиционной политики муниципального образования </w:t>
      </w:r>
      <w:r w:rsidR="00B5604E">
        <w:rPr>
          <w:rFonts w:eastAsiaTheme="minorHAnsi"/>
          <w:sz w:val="26"/>
          <w:szCs w:val="26"/>
          <w:lang w:eastAsia="en-US"/>
        </w:rPr>
        <w:t>город Саяногорск</w:t>
      </w:r>
      <w:r w:rsidR="0038168B" w:rsidRPr="0038168B">
        <w:rPr>
          <w:rFonts w:eastAsiaTheme="minorHAnsi"/>
          <w:sz w:val="26"/>
          <w:szCs w:val="26"/>
          <w:lang w:eastAsia="en-US"/>
        </w:rPr>
        <w:t>.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 xml:space="preserve">Документы и материалы, необходимые для согласования, представляются в </w:t>
      </w:r>
      <w:r w:rsidR="009835D2">
        <w:rPr>
          <w:rFonts w:eastAsiaTheme="minorHAnsi"/>
          <w:sz w:val="26"/>
          <w:szCs w:val="26"/>
          <w:lang w:eastAsia="en-US"/>
        </w:rPr>
        <w:t xml:space="preserve">Отдел экономики и развития Администрации муниципального образования </w:t>
      </w:r>
      <w:proofErr w:type="spellStart"/>
      <w:r w:rsidR="009835D2">
        <w:rPr>
          <w:rFonts w:eastAsiaTheme="minorHAnsi"/>
          <w:sz w:val="26"/>
          <w:szCs w:val="26"/>
          <w:lang w:eastAsia="en-US"/>
        </w:rPr>
        <w:t>г</w:t>
      </w:r>
      <w:proofErr w:type="gramStart"/>
      <w:r w:rsidR="009835D2">
        <w:rPr>
          <w:rFonts w:eastAsiaTheme="minorHAnsi"/>
          <w:sz w:val="26"/>
          <w:szCs w:val="26"/>
          <w:lang w:eastAsia="en-US"/>
        </w:rPr>
        <w:t>.С</w:t>
      </w:r>
      <w:proofErr w:type="gramEnd"/>
      <w:r w:rsidR="009835D2">
        <w:rPr>
          <w:rFonts w:eastAsiaTheme="minorHAnsi"/>
          <w:sz w:val="26"/>
          <w:szCs w:val="26"/>
          <w:lang w:eastAsia="en-US"/>
        </w:rPr>
        <w:t>аяногорск</w:t>
      </w:r>
      <w:proofErr w:type="spellEnd"/>
      <w:r w:rsidR="009835D2" w:rsidRPr="0038168B">
        <w:rPr>
          <w:rFonts w:eastAsiaTheme="minorHAnsi"/>
          <w:sz w:val="26"/>
          <w:szCs w:val="26"/>
          <w:lang w:eastAsia="en-US"/>
        </w:rPr>
        <w:t xml:space="preserve"> </w:t>
      </w:r>
      <w:r w:rsidRPr="0038168B">
        <w:rPr>
          <w:rFonts w:eastAsiaTheme="minorHAnsi"/>
          <w:sz w:val="26"/>
          <w:szCs w:val="26"/>
          <w:lang w:eastAsia="en-US"/>
        </w:rPr>
        <w:t>одновременно с проектом решения.</w:t>
      </w:r>
    </w:p>
    <w:p w:rsidR="0038168B" w:rsidRPr="0038168B" w:rsidRDefault="00004B39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9</w:t>
      </w:r>
      <w:r w:rsidR="0038168B" w:rsidRPr="0038168B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ab/>
      </w:r>
      <w:r w:rsidR="0038168B" w:rsidRPr="0038168B">
        <w:rPr>
          <w:rFonts w:eastAsiaTheme="minorHAnsi"/>
          <w:sz w:val="26"/>
          <w:szCs w:val="26"/>
          <w:lang w:eastAsia="en-US"/>
        </w:rPr>
        <w:t xml:space="preserve">Согласование </w:t>
      </w:r>
      <w:r w:rsidR="0060341D">
        <w:rPr>
          <w:rFonts w:eastAsiaTheme="minorHAnsi"/>
          <w:sz w:val="26"/>
          <w:szCs w:val="26"/>
          <w:lang w:eastAsia="en-US"/>
        </w:rPr>
        <w:t xml:space="preserve">Отделом экономики и развития Администрации муниципального образования </w:t>
      </w:r>
      <w:proofErr w:type="spellStart"/>
      <w:r w:rsidR="0060341D">
        <w:rPr>
          <w:rFonts w:eastAsiaTheme="minorHAnsi"/>
          <w:sz w:val="26"/>
          <w:szCs w:val="26"/>
          <w:lang w:eastAsia="en-US"/>
        </w:rPr>
        <w:t>г</w:t>
      </w:r>
      <w:proofErr w:type="gramStart"/>
      <w:r w:rsidR="0060341D">
        <w:rPr>
          <w:rFonts w:eastAsiaTheme="minorHAnsi"/>
          <w:sz w:val="26"/>
          <w:szCs w:val="26"/>
          <w:lang w:eastAsia="en-US"/>
        </w:rPr>
        <w:t>.С</w:t>
      </w:r>
      <w:proofErr w:type="gramEnd"/>
      <w:r w:rsidR="0060341D">
        <w:rPr>
          <w:rFonts w:eastAsiaTheme="minorHAnsi"/>
          <w:sz w:val="26"/>
          <w:szCs w:val="26"/>
          <w:lang w:eastAsia="en-US"/>
        </w:rPr>
        <w:t>аяногорск</w:t>
      </w:r>
      <w:proofErr w:type="spellEnd"/>
      <w:r w:rsidR="0060341D" w:rsidRPr="0038168B">
        <w:rPr>
          <w:rFonts w:eastAsiaTheme="minorHAnsi"/>
          <w:sz w:val="26"/>
          <w:szCs w:val="26"/>
          <w:lang w:eastAsia="en-US"/>
        </w:rPr>
        <w:t xml:space="preserve"> </w:t>
      </w:r>
      <w:r w:rsidR="0038168B" w:rsidRPr="0038168B">
        <w:rPr>
          <w:rFonts w:eastAsiaTheme="minorHAnsi"/>
          <w:sz w:val="26"/>
          <w:szCs w:val="26"/>
          <w:lang w:eastAsia="en-US"/>
        </w:rPr>
        <w:t>проекта решения производится с учетом следующих критериев: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а)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>наличие цели создания объекта капитального строительства с определением количественного показателя (показателей) результатов его строительства (реконструкции);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б)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>соответствие цели создания объекта капитального строительства целям и задачам развития муниципального образования</w:t>
      </w:r>
      <w:r w:rsidR="0060341D"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</w:t>
      </w:r>
      <w:r w:rsidRPr="0038168B">
        <w:rPr>
          <w:rFonts w:eastAsiaTheme="minorHAnsi"/>
          <w:sz w:val="26"/>
          <w:szCs w:val="26"/>
          <w:lang w:eastAsia="en-US"/>
        </w:rPr>
        <w:t>, исходя из</w:t>
      </w:r>
      <w:r w:rsidR="0060341D">
        <w:rPr>
          <w:rFonts w:eastAsiaTheme="minorHAnsi"/>
          <w:sz w:val="26"/>
          <w:szCs w:val="26"/>
          <w:lang w:eastAsia="en-US"/>
        </w:rPr>
        <w:t xml:space="preserve"> Стратегии социально-экономического развития муниципального образования город Саяногорск</w:t>
      </w:r>
      <w:r w:rsidRPr="0038168B">
        <w:rPr>
          <w:rFonts w:eastAsiaTheme="minorHAnsi"/>
          <w:sz w:val="26"/>
          <w:szCs w:val="26"/>
          <w:lang w:eastAsia="en-US"/>
        </w:rPr>
        <w:t>, а также программ и прогнозов социально-экономического развития</w:t>
      </w:r>
      <w:r w:rsidR="0060341D"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</w:t>
      </w:r>
      <w:r w:rsidRPr="0038168B">
        <w:rPr>
          <w:rFonts w:eastAsiaTheme="minorHAnsi"/>
          <w:sz w:val="26"/>
          <w:szCs w:val="26"/>
          <w:lang w:eastAsia="en-US"/>
        </w:rPr>
        <w:t>;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в)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 xml:space="preserve">влияние создания объекта капитального строительства на комплексное развитие муниципального образования </w:t>
      </w:r>
      <w:r w:rsidR="0060341D">
        <w:rPr>
          <w:rFonts w:eastAsiaTheme="minorHAnsi"/>
          <w:sz w:val="26"/>
          <w:szCs w:val="26"/>
          <w:lang w:eastAsia="en-US"/>
        </w:rPr>
        <w:t>город Саяногорск</w:t>
      </w:r>
      <w:r w:rsidRPr="0038168B">
        <w:rPr>
          <w:rFonts w:eastAsiaTheme="minorHAnsi"/>
          <w:sz w:val="26"/>
          <w:szCs w:val="26"/>
          <w:lang w:eastAsia="en-US"/>
        </w:rPr>
        <w:t>;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г)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>обоснование потребности в продукции (работах и услугах), создаваемой в результате создания объекта капитального строительства.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1</w:t>
      </w:r>
      <w:r w:rsidR="00004B39">
        <w:rPr>
          <w:rFonts w:eastAsiaTheme="minorHAnsi"/>
          <w:sz w:val="26"/>
          <w:szCs w:val="26"/>
          <w:lang w:eastAsia="en-US"/>
        </w:rPr>
        <w:t>0</w:t>
      </w:r>
      <w:r w:rsidRPr="0038168B">
        <w:rPr>
          <w:rFonts w:eastAsiaTheme="minorHAnsi"/>
          <w:sz w:val="26"/>
          <w:szCs w:val="26"/>
          <w:lang w:eastAsia="en-US"/>
        </w:rPr>
        <w:t>.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 xml:space="preserve">Необходимым условием согласования проекта решения </w:t>
      </w:r>
      <w:r w:rsidR="00BF397D">
        <w:rPr>
          <w:rFonts w:eastAsiaTheme="minorHAnsi"/>
          <w:sz w:val="26"/>
          <w:szCs w:val="26"/>
          <w:lang w:eastAsia="en-US"/>
        </w:rPr>
        <w:t xml:space="preserve">«Бюджетно-финансовым управлением администрации города Саяногорска» </w:t>
      </w:r>
      <w:r w:rsidRPr="0038168B">
        <w:rPr>
          <w:rFonts w:eastAsiaTheme="minorHAnsi"/>
          <w:sz w:val="26"/>
          <w:szCs w:val="26"/>
          <w:lang w:eastAsia="en-US"/>
        </w:rPr>
        <w:t xml:space="preserve">является наличие информации о невозможности подготовки обоснования инвестиций и проведение его </w:t>
      </w:r>
      <w:r w:rsidRPr="0038168B">
        <w:rPr>
          <w:rFonts w:eastAsiaTheme="minorHAnsi"/>
          <w:sz w:val="26"/>
          <w:szCs w:val="26"/>
          <w:lang w:eastAsia="en-US"/>
        </w:rPr>
        <w:lastRenderedPageBreak/>
        <w:t xml:space="preserve">технологического и ценового аудита без предоставления средств из бюджета муниципального образования </w:t>
      </w:r>
      <w:r w:rsidR="00BF397D">
        <w:rPr>
          <w:rFonts w:eastAsiaTheme="minorHAnsi"/>
          <w:sz w:val="26"/>
          <w:szCs w:val="26"/>
          <w:lang w:eastAsia="en-US"/>
        </w:rPr>
        <w:t>город Саяногорск</w:t>
      </w:r>
      <w:r w:rsidRPr="0038168B">
        <w:rPr>
          <w:rFonts w:eastAsiaTheme="minorHAnsi"/>
          <w:sz w:val="26"/>
          <w:szCs w:val="26"/>
          <w:lang w:eastAsia="en-US"/>
        </w:rPr>
        <w:t>.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1</w:t>
      </w:r>
      <w:r w:rsidR="00004B39">
        <w:rPr>
          <w:rFonts w:eastAsiaTheme="minorHAnsi"/>
          <w:sz w:val="26"/>
          <w:szCs w:val="26"/>
          <w:lang w:eastAsia="en-US"/>
        </w:rPr>
        <w:t>1</w:t>
      </w:r>
      <w:r w:rsidRPr="0038168B">
        <w:rPr>
          <w:rFonts w:eastAsiaTheme="minorHAnsi"/>
          <w:sz w:val="26"/>
          <w:szCs w:val="26"/>
          <w:lang w:eastAsia="en-US"/>
        </w:rPr>
        <w:t>.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="00BF397D">
        <w:rPr>
          <w:rFonts w:eastAsiaTheme="minorHAnsi"/>
          <w:sz w:val="26"/>
          <w:szCs w:val="26"/>
          <w:lang w:eastAsia="en-US"/>
        </w:rPr>
        <w:t xml:space="preserve">Отдел экономики и развития Администрации муниципального образования </w:t>
      </w:r>
      <w:proofErr w:type="spellStart"/>
      <w:r w:rsidR="00BF397D">
        <w:rPr>
          <w:rFonts w:eastAsiaTheme="minorHAnsi"/>
          <w:sz w:val="26"/>
          <w:szCs w:val="26"/>
          <w:lang w:eastAsia="en-US"/>
        </w:rPr>
        <w:t>г</w:t>
      </w:r>
      <w:proofErr w:type="gramStart"/>
      <w:r w:rsidR="00BF397D">
        <w:rPr>
          <w:rFonts w:eastAsiaTheme="minorHAnsi"/>
          <w:sz w:val="26"/>
          <w:szCs w:val="26"/>
          <w:lang w:eastAsia="en-US"/>
        </w:rPr>
        <w:t>.С</w:t>
      </w:r>
      <w:proofErr w:type="gramEnd"/>
      <w:r w:rsidR="00BF397D">
        <w:rPr>
          <w:rFonts w:eastAsiaTheme="minorHAnsi"/>
          <w:sz w:val="26"/>
          <w:szCs w:val="26"/>
          <w:lang w:eastAsia="en-US"/>
        </w:rPr>
        <w:t>аяногорск</w:t>
      </w:r>
      <w:proofErr w:type="spellEnd"/>
      <w:r w:rsidR="00BF397D">
        <w:rPr>
          <w:rFonts w:eastAsiaTheme="minorHAnsi"/>
          <w:sz w:val="26"/>
          <w:szCs w:val="26"/>
          <w:lang w:eastAsia="en-US"/>
        </w:rPr>
        <w:t xml:space="preserve"> и «Бюджетно-финансовое управление администрации города Саяногорска» </w:t>
      </w:r>
      <w:r w:rsidRPr="0038168B">
        <w:rPr>
          <w:rFonts w:eastAsiaTheme="minorHAnsi"/>
          <w:sz w:val="26"/>
          <w:szCs w:val="26"/>
          <w:lang w:eastAsia="en-US"/>
        </w:rPr>
        <w:t xml:space="preserve">рассматривают проект решения в течение </w:t>
      </w:r>
      <w:r w:rsidR="00BF397D">
        <w:rPr>
          <w:rFonts w:eastAsiaTheme="minorHAnsi"/>
          <w:sz w:val="26"/>
          <w:szCs w:val="26"/>
          <w:lang w:eastAsia="en-US"/>
        </w:rPr>
        <w:t xml:space="preserve">10 рабочих </w:t>
      </w:r>
      <w:r w:rsidRPr="0038168B">
        <w:rPr>
          <w:rFonts w:eastAsiaTheme="minorHAnsi"/>
          <w:sz w:val="26"/>
          <w:szCs w:val="26"/>
          <w:lang w:eastAsia="en-US"/>
        </w:rPr>
        <w:t>дней со дня его поступления.</w:t>
      </w:r>
    </w:p>
    <w:p w:rsidR="0038168B" w:rsidRP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1</w:t>
      </w:r>
      <w:r w:rsidR="00004B39">
        <w:rPr>
          <w:rFonts w:eastAsiaTheme="minorHAnsi"/>
          <w:sz w:val="26"/>
          <w:szCs w:val="26"/>
          <w:lang w:eastAsia="en-US"/>
        </w:rPr>
        <w:t>2</w:t>
      </w:r>
      <w:r w:rsidRPr="0038168B">
        <w:rPr>
          <w:rFonts w:eastAsiaTheme="minorHAnsi"/>
          <w:sz w:val="26"/>
          <w:szCs w:val="26"/>
          <w:lang w:eastAsia="en-US"/>
        </w:rPr>
        <w:t>.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 xml:space="preserve">После согласования проекта решения </w:t>
      </w:r>
      <w:r w:rsidR="00BF397D">
        <w:rPr>
          <w:rFonts w:eastAsiaTheme="minorHAnsi"/>
          <w:sz w:val="26"/>
          <w:szCs w:val="26"/>
          <w:lang w:eastAsia="en-US"/>
        </w:rPr>
        <w:t>Отдел</w:t>
      </w:r>
      <w:r w:rsidR="00C0192F">
        <w:rPr>
          <w:rFonts w:eastAsiaTheme="minorHAnsi"/>
          <w:sz w:val="26"/>
          <w:szCs w:val="26"/>
          <w:lang w:eastAsia="en-US"/>
        </w:rPr>
        <w:t>ом</w:t>
      </w:r>
      <w:r w:rsidR="00BF397D">
        <w:rPr>
          <w:rFonts w:eastAsiaTheme="minorHAnsi"/>
          <w:sz w:val="26"/>
          <w:szCs w:val="26"/>
          <w:lang w:eastAsia="en-US"/>
        </w:rPr>
        <w:t xml:space="preserve"> экономики и развития Администрации муниципального образования </w:t>
      </w:r>
      <w:proofErr w:type="spellStart"/>
      <w:r w:rsidR="00BF397D">
        <w:rPr>
          <w:rFonts w:eastAsiaTheme="minorHAnsi"/>
          <w:sz w:val="26"/>
          <w:szCs w:val="26"/>
          <w:lang w:eastAsia="en-US"/>
        </w:rPr>
        <w:t>г</w:t>
      </w:r>
      <w:proofErr w:type="gramStart"/>
      <w:r w:rsidR="00BF397D">
        <w:rPr>
          <w:rFonts w:eastAsiaTheme="minorHAnsi"/>
          <w:sz w:val="26"/>
          <w:szCs w:val="26"/>
          <w:lang w:eastAsia="en-US"/>
        </w:rPr>
        <w:t>.С</w:t>
      </w:r>
      <w:proofErr w:type="gramEnd"/>
      <w:r w:rsidR="00BF397D">
        <w:rPr>
          <w:rFonts w:eastAsiaTheme="minorHAnsi"/>
          <w:sz w:val="26"/>
          <w:szCs w:val="26"/>
          <w:lang w:eastAsia="en-US"/>
        </w:rPr>
        <w:t>аяногорск</w:t>
      </w:r>
      <w:proofErr w:type="spellEnd"/>
      <w:r w:rsidR="00BF397D">
        <w:rPr>
          <w:rFonts w:eastAsiaTheme="minorHAnsi"/>
          <w:sz w:val="26"/>
          <w:szCs w:val="26"/>
          <w:lang w:eastAsia="en-US"/>
        </w:rPr>
        <w:t xml:space="preserve"> и «Бюджетно-финансов</w:t>
      </w:r>
      <w:r w:rsidR="00C0192F">
        <w:rPr>
          <w:rFonts w:eastAsiaTheme="minorHAnsi"/>
          <w:sz w:val="26"/>
          <w:szCs w:val="26"/>
          <w:lang w:eastAsia="en-US"/>
        </w:rPr>
        <w:t>ым</w:t>
      </w:r>
      <w:r w:rsidR="00BF397D">
        <w:rPr>
          <w:rFonts w:eastAsiaTheme="minorHAnsi"/>
          <w:sz w:val="26"/>
          <w:szCs w:val="26"/>
          <w:lang w:eastAsia="en-US"/>
        </w:rPr>
        <w:t xml:space="preserve"> управление</w:t>
      </w:r>
      <w:r w:rsidR="00C0192F">
        <w:rPr>
          <w:rFonts w:eastAsiaTheme="minorHAnsi"/>
          <w:sz w:val="26"/>
          <w:szCs w:val="26"/>
          <w:lang w:eastAsia="en-US"/>
        </w:rPr>
        <w:t>м</w:t>
      </w:r>
      <w:r w:rsidR="00BF397D">
        <w:rPr>
          <w:rFonts w:eastAsiaTheme="minorHAnsi"/>
          <w:sz w:val="26"/>
          <w:szCs w:val="26"/>
          <w:lang w:eastAsia="en-US"/>
        </w:rPr>
        <w:t xml:space="preserve"> администрации города Саяногорска»</w:t>
      </w:r>
      <w:r w:rsidRPr="0038168B">
        <w:rPr>
          <w:rFonts w:eastAsiaTheme="minorHAnsi"/>
          <w:sz w:val="26"/>
          <w:szCs w:val="26"/>
          <w:lang w:eastAsia="en-US"/>
        </w:rPr>
        <w:t xml:space="preserve"> дальнейшее согласование осуществляется в порядке, предусмотренном муниципальным правовым актом, устанавливающим правила и порядок работы с организационно-распорядительными документами.</w:t>
      </w:r>
    </w:p>
    <w:p w:rsidR="0038168B" w:rsidRDefault="0038168B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38168B">
        <w:rPr>
          <w:rFonts w:eastAsiaTheme="minorHAnsi"/>
          <w:sz w:val="26"/>
          <w:szCs w:val="26"/>
          <w:lang w:eastAsia="en-US"/>
        </w:rPr>
        <w:t>1</w:t>
      </w:r>
      <w:r w:rsidR="00004B39">
        <w:rPr>
          <w:rFonts w:eastAsiaTheme="minorHAnsi"/>
          <w:sz w:val="26"/>
          <w:szCs w:val="26"/>
          <w:lang w:eastAsia="en-US"/>
        </w:rPr>
        <w:t>3</w:t>
      </w:r>
      <w:r w:rsidRPr="0038168B">
        <w:rPr>
          <w:rFonts w:eastAsiaTheme="minorHAnsi"/>
          <w:sz w:val="26"/>
          <w:szCs w:val="26"/>
          <w:lang w:eastAsia="en-US"/>
        </w:rPr>
        <w:t>.</w:t>
      </w:r>
      <w:r w:rsidR="00004B39">
        <w:rPr>
          <w:rFonts w:eastAsiaTheme="minorHAnsi"/>
          <w:sz w:val="26"/>
          <w:szCs w:val="26"/>
          <w:lang w:eastAsia="en-US"/>
        </w:rPr>
        <w:tab/>
      </w:r>
      <w:r w:rsidRPr="0038168B">
        <w:rPr>
          <w:rFonts w:eastAsiaTheme="minorHAnsi"/>
          <w:sz w:val="26"/>
          <w:szCs w:val="26"/>
          <w:lang w:eastAsia="en-US"/>
        </w:rPr>
        <w:t>Внесение изменений в решение осуществляется в порядке, установленном настоящим Порядком для его принятия.</w:t>
      </w:r>
    </w:p>
    <w:p w:rsidR="00C0192F" w:rsidRPr="0038168B" w:rsidRDefault="00C0192F" w:rsidP="008047B5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DC69A2" w:rsidRPr="0075619C" w:rsidRDefault="00DC69A2" w:rsidP="004A0E07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115" w:tblpY="246"/>
        <w:tblW w:w="9464" w:type="dxa"/>
        <w:tblLayout w:type="fixed"/>
        <w:tblLook w:val="01E0" w:firstRow="1" w:lastRow="1" w:firstColumn="1" w:lastColumn="1" w:noHBand="0" w:noVBand="0"/>
      </w:tblPr>
      <w:tblGrid>
        <w:gridCol w:w="5211"/>
        <w:gridCol w:w="1843"/>
        <w:gridCol w:w="2410"/>
      </w:tblGrid>
      <w:tr w:rsidR="007B6848" w:rsidRPr="00014A95" w:rsidTr="006B30CC">
        <w:tc>
          <w:tcPr>
            <w:tcW w:w="5211" w:type="dxa"/>
            <w:vAlign w:val="center"/>
          </w:tcPr>
          <w:p w:rsidR="007B6848" w:rsidRPr="00CE28EF" w:rsidRDefault="00781829" w:rsidP="00781829">
            <w:pPr>
              <w:pStyle w:val="a5"/>
              <w:keepNext/>
              <w:keepLines/>
              <w:suppressLineNumbers/>
              <w:suppressAutoHyphens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Управляющий</w:t>
            </w:r>
            <w:r w:rsidR="007B6848" w:rsidRPr="00CE28EF">
              <w:rPr>
                <w:sz w:val="26"/>
                <w:szCs w:val="26"/>
              </w:rPr>
              <w:t xml:space="preserve"> делами Администрации муниципального образования </w:t>
            </w:r>
            <w:proofErr w:type="spellStart"/>
            <w:r w:rsidR="007B6848" w:rsidRPr="00CE28EF">
              <w:rPr>
                <w:sz w:val="26"/>
                <w:szCs w:val="26"/>
              </w:rPr>
              <w:t>г</w:t>
            </w:r>
            <w:proofErr w:type="gramStart"/>
            <w:r w:rsidR="007B6848" w:rsidRPr="00CE28EF">
              <w:rPr>
                <w:sz w:val="26"/>
                <w:szCs w:val="26"/>
              </w:rPr>
              <w:t>.С</w:t>
            </w:r>
            <w:proofErr w:type="gramEnd"/>
            <w:r w:rsidR="007B6848" w:rsidRPr="00CE28EF">
              <w:rPr>
                <w:sz w:val="26"/>
                <w:szCs w:val="26"/>
              </w:rPr>
              <w:t>аяногорск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B6848" w:rsidRPr="00CE28EF" w:rsidRDefault="007B6848" w:rsidP="004A0E07">
            <w:pPr>
              <w:pStyle w:val="a5"/>
              <w:keepNext/>
              <w:keepLines/>
              <w:suppressLineNumbers/>
              <w:suppressAutoHyphens/>
              <w:contextualSpacing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7B6848" w:rsidRPr="00CE28EF" w:rsidRDefault="00781829" w:rsidP="004A0E07">
            <w:pPr>
              <w:pStyle w:val="a5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Л.В. </w:t>
            </w:r>
            <w:proofErr w:type="spellStart"/>
            <w:r>
              <w:rPr>
                <w:sz w:val="26"/>
                <w:szCs w:val="26"/>
              </w:rPr>
              <w:t>Байтобетова</w:t>
            </w:r>
            <w:proofErr w:type="spellEnd"/>
          </w:p>
        </w:tc>
      </w:tr>
    </w:tbl>
    <w:p w:rsidR="007B6848" w:rsidRDefault="007B6848" w:rsidP="00165A52">
      <w:pPr>
        <w:pStyle w:val="a5"/>
        <w:keepNext/>
        <w:keepLines/>
        <w:suppressLineNumbers/>
        <w:suppressAutoHyphens/>
        <w:contextualSpacing/>
        <w:rPr>
          <w:i/>
          <w:sz w:val="17"/>
          <w:szCs w:val="17"/>
        </w:rPr>
      </w:pPr>
    </w:p>
    <w:p w:rsidR="00C0192F" w:rsidRDefault="00C0192F" w:rsidP="00165A52">
      <w:pPr>
        <w:pStyle w:val="a5"/>
        <w:keepNext/>
        <w:keepLines/>
        <w:suppressLineNumbers/>
        <w:suppressAutoHyphens/>
        <w:contextualSpacing/>
        <w:rPr>
          <w:i/>
          <w:sz w:val="17"/>
          <w:szCs w:val="17"/>
        </w:rPr>
      </w:pPr>
    </w:p>
    <w:p w:rsidR="007B6848" w:rsidRPr="0075619C" w:rsidRDefault="007B6848" w:rsidP="004A0E07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7B6848" w:rsidRDefault="007B6848" w:rsidP="004A0E07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237585" w:rsidRDefault="0023758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A7481" w:rsidRPr="000771E7" w:rsidRDefault="00CA7481" w:rsidP="00CA7481">
      <w:pPr>
        <w:ind w:firstLine="5670"/>
        <w:contextualSpacing/>
        <w:rPr>
          <w:sz w:val="26"/>
          <w:szCs w:val="26"/>
        </w:rPr>
      </w:pPr>
      <w:bookmarkStart w:id="0" w:name="_GoBack"/>
      <w:bookmarkEnd w:id="0"/>
      <w:r w:rsidRPr="000771E7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</w:t>
      </w:r>
      <w:r w:rsidR="001C6141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Pr="000771E7">
        <w:rPr>
          <w:sz w:val="26"/>
          <w:szCs w:val="26"/>
        </w:rPr>
        <w:t xml:space="preserve">к </w:t>
      </w:r>
      <w:r>
        <w:rPr>
          <w:sz w:val="26"/>
          <w:szCs w:val="26"/>
        </w:rPr>
        <w:t>п</w:t>
      </w:r>
      <w:r w:rsidRPr="000771E7">
        <w:rPr>
          <w:sz w:val="26"/>
          <w:szCs w:val="26"/>
        </w:rPr>
        <w:t>остановлению</w:t>
      </w:r>
    </w:p>
    <w:p w:rsidR="00CA7481" w:rsidRPr="000771E7" w:rsidRDefault="00CA7481" w:rsidP="00CA7481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  <w:r w:rsidRPr="000771E7">
        <w:rPr>
          <w:sz w:val="26"/>
          <w:szCs w:val="26"/>
        </w:rPr>
        <w:t xml:space="preserve">Администрации </w:t>
      </w:r>
      <w:proofErr w:type="gramStart"/>
      <w:r w:rsidRPr="000771E7">
        <w:rPr>
          <w:sz w:val="26"/>
          <w:szCs w:val="26"/>
        </w:rPr>
        <w:t>муниципального</w:t>
      </w:r>
      <w:proofErr w:type="gramEnd"/>
    </w:p>
    <w:p w:rsidR="00CA7481" w:rsidRPr="000771E7" w:rsidRDefault="00CA7481" w:rsidP="00CA7481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  <w:r w:rsidRPr="000771E7">
        <w:rPr>
          <w:sz w:val="26"/>
          <w:szCs w:val="26"/>
        </w:rPr>
        <w:t>образования город Саяногорск</w:t>
      </w:r>
    </w:p>
    <w:p w:rsidR="001C65E1" w:rsidRPr="005F2998" w:rsidRDefault="001C65E1" w:rsidP="001C65E1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  <w:u w:val="single"/>
        </w:rPr>
      </w:pPr>
      <w:r w:rsidRPr="000771E7">
        <w:rPr>
          <w:sz w:val="26"/>
          <w:szCs w:val="26"/>
        </w:rPr>
        <w:t xml:space="preserve">от </w:t>
      </w:r>
      <w:r w:rsidRPr="005F2998">
        <w:rPr>
          <w:sz w:val="26"/>
          <w:szCs w:val="26"/>
          <w:u w:val="single"/>
        </w:rPr>
        <w:t xml:space="preserve">08.04.2024 </w:t>
      </w:r>
      <w:r w:rsidRPr="000771E7">
        <w:rPr>
          <w:sz w:val="26"/>
          <w:szCs w:val="26"/>
        </w:rPr>
        <w:t xml:space="preserve">№ </w:t>
      </w:r>
      <w:r w:rsidRPr="005F2998">
        <w:rPr>
          <w:sz w:val="26"/>
          <w:szCs w:val="26"/>
          <w:u w:val="single"/>
        </w:rPr>
        <w:t>234</w:t>
      </w:r>
    </w:p>
    <w:p w:rsidR="00E71E34" w:rsidRDefault="00E71E34" w:rsidP="00CA7481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</w:p>
    <w:p w:rsidR="003204EA" w:rsidRDefault="003204EA" w:rsidP="003204EA">
      <w:pPr>
        <w:autoSpaceDE w:val="0"/>
        <w:autoSpaceDN w:val="0"/>
        <w:adjustRightInd w:val="0"/>
        <w:ind w:firstLine="539"/>
        <w:contextualSpacing/>
        <w:jc w:val="center"/>
        <w:rPr>
          <w:b/>
          <w:sz w:val="26"/>
          <w:szCs w:val="26"/>
        </w:rPr>
      </w:pPr>
    </w:p>
    <w:p w:rsidR="003204EA" w:rsidRDefault="003204EA" w:rsidP="003204EA">
      <w:pPr>
        <w:autoSpaceDE w:val="0"/>
        <w:autoSpaceDN w:val="0"/>
        <w:adjustRightInd w:val="0"/>
        <w:contextualSpacing/>
        <w:jc w:val="center"/>
        <w:rPr>
          <w:b/>
          <w:sz w:val="26"/>
          <w:szCs w:val="26"/>
        </w:rPr>
      </w:pPr>
      <w:r w:rsidRPr="003204EA">
        <w:rPr>
          <w:b/>
          <w:sz w:val="26"/>
          <w:szCs w:val="26"/>
        </w:rPr>
        <w:t xml:space="preserve">Требования </w:t>
      </w:r>
    </w:p>
    <w:p w:rsidR="003204EA" w:rsidRDefault="003204EA" w:rsidP="003204EA">
      <w:pPr>
        <w:autoSpaceDE w:val="0"/>
        <w:autoSpaceDN w:val="0"/>
        <w:adjustRightInd w:val="0"/>
        <w:contextualSpacing/>
        <w:jc w:val="center"/>
        <w:rPr>
          <w:b/>
          <w:sz w:val="26"/>
          <w:szCs w:val="26"/>
        </w:rPr>
      </w:pPr>
      <w:r w:rsidRPr="003204EA">
        <w:rPr>
          <w:b/>
          <w:sz w:val="26"/>
          <w:szCs w:val="26"/>
        </w:rPr>
        <w:t xml:space="preserve">к договорам, заключаемым в связи с предоставлением </w:t>
      </w:r>
    </w:p>
    <w:p w:rsidR="003204EA" w:rsidRDefault="003204EA" w:rsidP="003204EA">
      <w:pPr>
        <w:autoSpaceDE w:val="0"/>
        <w:autoSpaceDN w:val="0"/>
        <w:adjustRightInd w:val="0"/>
        <w:contextualSpacing/>
        <w:jc w:val="center"/>
        <w:rPr>
          <w:b/>
          <w:sz w:val="26"/>
          <w:szCs w:val="26"/>
        </w:rPr>
      </w:pPr>
      <w:r w:rsidRPr="003204EA">
        <w:rPr>
          <w:b/>
          <w:sz w:val="26"/>
          <w:szCs w:val="26"/>
        </w:rPr>
        <w:t xml:space="preserve">из бюджета муниципального образования город Саяногорск </w:t>
      </w:r>
    </w:p>
    <w:p w:rsidR="003204EA" w:rsidRDefault="003204EA" w:rsidP="003204EA">
      <w:pPr>
        <w:autoSpaceDE w:val="0"/>
        <w:autoSpaceDN w:val="0"/>
        <w:adjustRightInd w:val="0"/>
        <w:contextualSpacing/>
        <w:jc w:val="center"/>
        <w:rPr>
          <w:b/>
          <w:sz w:val="26"/>
          <w:szCs w:val="26"/>
        </w:rPr>
      </w:pPr>
      <w:r w:rsidRPr="003204EA">
        <w:rPr>
          <w:b/>
          <w:sz w:val="26"/>
          <w:szCs w:val="26"/>
        </w:rPr>
        <w:t xml:space="preserve">бюджетных инвестиций в объекты капитального строительства и (или) </w:t>
      </w:r>
    </w:p>
    <w:p w:rsidR="003204EA" w:rsidRDefault="003204EA" w:rsidP="003204EA">
      <w:pPr>
        <w:autoSpaceDE w:val="0"/>
        <w:autoSpaceDN w:val="0"/>
        <w:adjustRightInd w:val="0"/>
        <w:contextualSpacing/>
        <w:jc w:val="center"/>
        <w:rPr>
          <w:b/>
          <w:sz w:val="26"/>
          <w:szCs w:val="26"/>
        </w:rPr>
      </w:pPr>
      <w:r w:rsidRPr="003204EA">
        <w:rPr>
          <w:b/>
          <w:sz w:val="26"/>
          <w:szCs w:val="26"/>
        </w:rPr>
        <w:t xml:space="preserve">на приобретение недвижимого имущества </w:t>
      </w:r>
      <w:proofErr w:type="gramStart"/>
      <w:r w:rsidRPr="003204EA">
        <w:rPr>
          <w:b/>
          <w:sz w:val="26"/>
          <w:szCs w:val="26"/>
        </w:rPr>
        <w:t>юридическими</w:t>
      </w:r>
      <w:proofErr w:type="gramEnd"/>
      <w:r w:rsidRPr="003204EA">
        <w:rPr>
          <w:b/>
          <w:sz w:val="26"/>
          <w:szCs w:val="26"/>
        </w:rPr>
        <w:t xml:space="preserve"> лицам, </w:t>
      </w:r>
    </w:p>
    <w:p w:rsidR="00E71E34" w:rsidRPr="003204EA" w:rsidRDefault="003204EA" w:rsidP="003204EA">
      <w:pPr>
        <w:autoSpaceDE w:val="0"/>
        <w:autoSpaceDN w:val="0"/>
        <w:adjustRightInd w:val="0"/>
        <w:contextualSpacing/>
        <w:jc w:val="center"/>
        <w:rPr>
          <w:b/>
          <w:sz w:val="26"/>
          <w:szCs w:val="26"/>
        </w:rPr>
      </w:pPr>
      <w:proofErr w:type="gramStart"/>
      <w:r w:rsidRPr="003204EA">
        <w:rPr>
          <w:b/>
          <w:sz w:val="26"/>
          <w:szCs w:val="26"/>
        </w:rPr>
        <w:t>не являющимся муниципальными учреждениями муниципального образования город Саяногорск и муниципальными унитарными предприятиями муниципального образования город Саяногорск</w:t>
      </w:r>
      <w:proofErr w:type="gramEnd"/>
    </w:p>
    <w:p w:rsidR="003204EA" w:rsidRDefault="003204EA" w:rsidP="00E71E34">
      <w:pPr>
        <w:autoSpaceDE w:val="0"/>
        <w:autoSpaceDN w:val="0"/>
        <w:adjustRightInd w:val="0"/>
        <w:ind w:firstLine="539"/>
        <w:contextualSpacing/>
        <w:jc w:val="both"/>
        <w:rPr>
          <w:sz w:val="26"/>
          <w:szCs w:val="26"/>
        </w:rPr>
      </w:pP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Требования к договорам, заключаемым в связи с предоставлением бюджетных инвестиций юридическим лицам, не являющимся муниципальными учреждениями и муниципальными унитарными предприятиями, за счет средств бюджета муниципального образования город Саяногорск (далее соответственно - Требования, юридические лица, бюджетные инвестиции) устанавливают требования к договорам, которые должны содержать договоры о предоставлении бюджетных инвестиций юридическим лицам, заключаемые между Администрацией муниципального образования город Саяногорск или органом, Администрации муниципального</w:t>
      </w:r>
      <w:proofErr w:type="gramEnd"/>
      <w:r>
        <w:rPr>
          <w:sz w:val="26"/>
          <w:szCs w:val="26"/>
        </w:rPr>
        <w:t xml:space="preserve"> образования город Саяногорск, выступающими главными распорядителями бюджетных средств, предусмотренных для предоставления бюджетных инвестиций юридическим лицам (далее – уполномоченный орган) и юридическими лицами, получающими бюджетные инвестиции (далее - договор о предоставлении бюджетных инвестиций).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>Договор о предоставлении бюджетных инвестиций заключается в пределах бюджетных ассигнований, утвержденных решением о бюджете на соответствующий финансовый год и плановый период, и лимитов бюджетных обязательств, доведенных в установленном порядке для предоставления бюджетных инвестиций соответствующему уполномоченному органу, предоставляющему бюджетные инвестиции.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bookmarkStart w:id="1" w:name="Par2"/>
      <w:bookmarkEnd w:id="1"/>
      <w:r>
        <w:rPr>
          <w:sz w:val="26"/>
          <w:szCs w:val="26"/>
        </w:rPr>
        <w:t>3.</w:t>
      </w:r>
      <w:r>
        <w:rPr>
          <w:sz w:val="26"/>
          <w:szCs w:val="26"/>
        </w:rPr>
        <w:tab/>
        <w:t>Договор о предоставлении бюджетных инвестиций должен содержать следующие положения: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>
        <w:rPr>
          <w:sz w:val="26"/>
          <w:szCs w:val="26"/>
        </w:rPr>
        <w:tab/>
        <w:t>цель предоставления бюджетных инвестиций и их объем (с распределением по годам);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>
        <w:rPr>
          <w:sz w:val="26"/>
          <w:szCs w:val="26"/>
        </w:rPr>
        <w:tab/>
        <w:t>результаты, для достижения которых предоставляются бюджетные инвестиции, и их значения (далее - показатели результативности), а также обязательства юридического лица по их достижению;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>
        <w:rPr>
          <w:sz w:val="26"/>
          <w:szCs w:val="26"/>
        </w:rPr>
        <w:tab/>
        <w:t>положения, устанавливающие права и обязанности сторон договора о предоставлении бюджетных инвестиций и порядок взаимодействия сторон при его реализации;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>
        <w:rPr>
          <w:sz w:val="26"/>
          <w:szCs w:val="26"/>
        </w:rPr>
        <w:tab/>
        <w:t>порядок, объемы и сроки (порядок определения сроков) оплаты акций (долей) в уставном (складочном) капитале юридического лица, получающего бюджетные инвестиции;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5)</w:t>
      </w:r>
      <w:r>
        <w:rPr>
          <w:sz w:val="26"/>
          <w:szCs w:val="26"/>
        </w:rPr>
        <w:tab/>
        <w:t>положения о запрете на приобретение юридическим лицом, получающим бюджетные инвестиции, за счет полученных средств иностранной валюты, за исключением операций, предусмотренных абзацем вторым пункта 3 статьи 80 Бюджетного кодекса Российской Федерации;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bookmarkStart w:id="2" w:name="Par8"/>
      <w:bookmarkEnd w:id="2"/>
      <w:r>
        <w:rPr>
          <w:sz w:val="26"/>
          <w:szCs w:val="26"/>
        </w:rPr>
        <w:t>6)</w:t>
      </w:r>
      <w:r>
        <w:rPr>
          <w:sz w:val="26"/>
          <w:szCs w:val="26"/>
        </w:rPr>
        <w:tab/>
        <w:t>порядок, форму и сроки представления юридическим лицом, получающим бюджетные инвестиции, отчетности о расходах, источником финансового обеспечения которых являются бюджетные инвестиции, а также о достижении показателей результативности;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bookmarkStart w:id="3" w:name="Par9"/>
      <w:bookmarkEnd w:id="3"/>
      <w:r>
        <w:rPr>
          <w:sz w:val="26"/>
          <w:szCs w:val="26"/>
        </w:rPr>
        <w:t>7)</w:t>
      </w:r>
      <w:r>
        <w:rPr>
          <w:sz w:val="26"/>
          <w:szCs w:val="26"/>
        </w:rPr>
        <w:tab/>
        <w:t>порядок организации, периодичность, сроки проведения проверок соблюдения юридическим лицом, получающим бюджетные инвестиции, целей, условий и порядка предоставления бюджетных инвестиций, а также право уполномоченного органа, предоставляющего бюджетные инвестиции, на проведение таких проверок;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8)</w:t>
      </w:r>
      <w:r>
        <w:rPr>
          <w:sz w:val="26"/>
          <w:szCs w:val="26"/>
        </w:rPr>
        <w:tab/>
        <w:t>сроки (порядок определения сроков) принятия в установленном законодательством Российской Федерации порядке решения об увеличении уставного капитала юридического лица, получающего бюджетные инвестиции, являющегося акционерным обществом, путем размещения дополнительных акций на сумму предоставляемых бюджетных инвестиций;</w:t>
      </w:r>
      <w:proofErr w:type="gramEnd"/>
    </w:p>
    <w:p w:rsidR="00C643F1" w:rsidRDefault="00C643F1" w:rsidP="00C643F1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sz w:val="26"/>
          <w:szCs w:val="26"/>
        </w:rPr>
        <w:t>9)</w:t>
      </w:r>
      <w:r>
        <w:rPr>
          <w:sz w:val="26"/>
          <w:szCs w:val="26"/>
        </w:rPr>
        <w:tab/>
      </w:r>
      <w:bookmarkStart w:id="4" w:name="Par0"/>
      <w:bookmarkEnd w:id="4"/>
      <w:r>
        <w:rPr>
          <w:rFonts w:eastAsiaTheme="minorHAnsi"/>
          <w:sz w:val="26"/>
          <w:szCs w:val="26"/>
          <w:lang w:eastAsia="en-US"/>
        </w:rPr>
        <w:t xml:space="preserve">положения, предусматривающие перечисление бюджетных инвестиций в соответствии с бюджетным законодательством Российской Федерации на казначейский счет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учреждениями, открытый </w:t>
      </w:r>
      <w:r w:rsidR="00901BDE">
        <w:rPr>
          <w:rFonts w:eastAsiaTheme="minorHAnsi"/>
          <w:sz w:val="26"/>
          <w:szCs w:val="26"/>
          <w:lang w:eastAsia="en-US"/>
        </w:rPr>
        <w:t xml:space="preserve">в </w:t>
      </w:r>
      <w:r>
        <w:rPr>
          <w:rFonts w:eastAsiaTheme="minorHAnsi"/>
          <w:sz w:val="26"/>
          <w:szCs w:val="26"/>
          <w:lang w:eastAsia="en-US"/>
        </w:rPr>
        <w:t>территориальном орган</w:t>
      </w:r>
      <w:r w:rsidR="00901BDE">
        <w:rPr>
          <w:rFonts w:eastAsiaTheme="minorHAnsi"/>
          <w:sz w:val="26"/>
          <w:szCs w:val="26"/>
          <w:lang w:eastAsia="en-US"/>
        </w:rPr>
        <w:t>е</w:t>
      </w:r>
      <w:r>
        <w:rPr>
          <w:rFonts w:eastAsiaTheme="minorHAnsi"/>
          <w:sz w:val="26"/>
          <w:szCs w:val="26"/>
          <w:lang w:eastAsia="en-US"/>
        </w:rPr>
        <w:t xml:space="preserve"> Федерального казначейства;</w:t>
      </w:r>
      <w:proofErr w:type="gramEnd"/>
    </w:p>
    <w:p w:rsidR="00C643F1" w:rsidRDefault="00C643F1" w:rsidP="00C643F1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10)</w:t>
      </w:r>
      <w:r>
        <w:rPr>
          <w:rFonts w:eastAsiaTheme="minorHAnsi"/>
          <w:sz w:val="26"/>
          <w:szCs w:val="26"/>
          <w:lang w:eastAsia="en-US"/>
        </w:rPr>
        <w:tab/>
        <w:t>условие об осуществлении операций по зачислению (списанию) средств на счет, указанный в подпункте 9 настоящего пункта, в порядке, установленном Федеральным казначейством, с отражением указанных операций на лицевом счете, предназначенном для учета операций со средствами юридических лиц, не являющихся участниками бюджетного процесса, открытом юридическому лицу, получающему бюджетные инвестиции, в порядке, установленном Федеральным казначейством;</w:t>
      </w:r>
      <w:proofErr w:type="gramEnd"/>
    </w:p>
    <w:p w:rsidR="00C643F1" w:rsidRDefault="00C643F1" w:rsidP="00C643F1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11)</w:t>
      </w:r>
      <w:r>
        <w:rPr>
          <w:rFonts w:eastAsiaTheme="minorHAnsi"/>
          <w:sz w:val="26"/>
          <w:szCs w:val="26"/>
          <w:lang w:eastAsia="en-US"/>
        </w:rPr>
        <w:tab/>
        <w:t xml:space="preserve">условие об осуществлении операций по списанию средств, отраженных на лицевом счете, указанном в подпункте 10 настоящего пункта, после проведения территориальным органом Федерального казначейства санкционирования операций в порядке, установленном Министерством финансов Российской Федерации, </w:t>
      </w:r>
      <w:proofErr w:type="gramStart"/>
      <w:r>
        <w:rPr>
          <w:rFonts w:eastAsiaTheme="minorHAnsi"/>
          <w:sz w:val="26"/>
          <w:szCs w:val="26"/>
          <w:lang w:eastAsia="en-US"/>
        </w:rPr>
        <w:t>определяющем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в том числе перечень документов, подлежащих представлению в территориальный орган Федерального казначейства для подтверждения возникновения денежных обязательств юридического лица, получающего бюджетные инвестиции, источником финансового обеспечения которых являются указанные средства;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bookmarkStart w:id="5" w:name="Par11"/>
      <w:bookmarkEnd w:id="5"/>
      <w:r>
        <w:rPr>
          <w:sz w:val="26"/>
          <w:szCs w:val="26"/>
        </w:rPr>
        <w:t>1</w:t>
      </w:r>
      <w:r w:rsidR="00C643F1">
        <w:rPr>
          <w:sz w:val="26"/>
          <w:szCs w:val="26"/>
        </w:rPr>
        <w:t>2</w:t>
      </w:r>
      <w:r>
        <w:rPr>
          <w:sz w:val="26"/>
          <w:szCs w:val="26"/>
        </w:rPr>
        <w:t>)</w:t>
      </w:r>
      <w:r>
        <w:rPr>
          <w:sz w:val="26"/>
          <w:szCs w:val="26"/>
        </w:rPr>
        <w:tab/>
        <w:t>ответственность юридического лица, получающего бюджетные инвестиции, за несоблюдение условий предоставления бюджетных инвестиций;</w:t>
      </w:r>
    </w:p>
    <w:p w:rsidR="00E71E34" w:rsidRDefault="00C643F1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E71E34">
        <w:rPr>
          <w:sz w:val="26"/>
          <w:szCs w:val="26"/>
        </w:rPr>
        <w:t>)</w:t>
      </w:r>
      <w:r w:rsidR="00E71E34">
        <w:rPr>
          <w:sz w:val="26"/>
          <w:szCs w:val="26"/>
        </w:rPr>
        <w:tab/>
        <w:t>порядок возврата юридическим лицом, получающим бюджетные инвестиции, полученных сре</w:t>
      </w:r>
      <w:proofErr w:type="gramStart"/>
      <w:r w:rsidR="00E71E34">
        <w:rPr>
          <w:sz w:val="26"/>
          <w:szCs w:val="26"/>
        </w:rPr>
        <w:t>дств в сл</w:t>
      </w:r>
      <w:proofErr w:type="gramEnd"/>
      <w:r w:rsidR="00E71E34">
        <w:rPr>
          <w:sz w:val="26"/>
          <w:szCs w:val="26"/>
        </w:rPr>
        <w:t>учае установления факта несоблюдения им целей, условий и порядка предоставления бюджетных инвестиций.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>
        <w:rPr>
          <w:sz w:val="26"/>
          <w:szCs w:val="26"/>
        </w:rPr>
        <w:tab/>
        <w:t xml:space="preserve">Договор о предоставлении бюджетных инвестиций в объекты капитального строительства, находящиеся в собственности юридического лица, получающего бюджетные инвестиции, и (или) на приобретение юридическим лицом, </w:t>
      </w:r>
      <w:r>
        <w:rPr>
          <w:sz w:val="26"/>
          <w:szCs w:val="26"/>
        </w:rPr>
        <w:lastRenderedPageBreak/>
        <w:t xml:space="preserve">получающим бюджетные инвестиции, объектов недвижимого имущества помимо положений, указанных в </w:t>
      </w:r>
      <w:hyperlink w:anchor="Par2" w:history="1">
        <w:r>
          <w:rPr>
            <w:color w:val="0000FF"/>
            <w:sz w:val="26"/>
            <w:szCs w:val="26"/>
          </w:rPr>
          <w:t>пункте 3</w:t>
        </w:r>
      </w:hyperlink>
      <w:r>
        <w:rPr>
          <w:sz w:val="26"/>
          <w:szCs w:val="26"/>
        </w:rPr>
        <w:t xml:space="preserve"> Требований, также предусматривает: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bookmarkStart w:id="6" w:name="Par17"/>
      <w:bookmarkEnd w:id="6"/>
      <w:proofErr w:type="gramStart"/>
      <w:r>
        <w:rPr>
          <w:sz w:val="26"/>
          <w:szCs w:val="26"/>
        </w:rPr>
        <w:t>1)</w:t>
      </w:r>
      <w:r>
        <w:rPr>
          <w:sz w:val="26"/>
          <w:szCs w:val="26"/>
        </w:rPr>
        <w:tab/>
        <w:t>наименование каждого объекта капитального строительства и (или) объекта недвижимого имущества, информация о его мощности, сроке строительства (реконструкции, в том числе с элементами реставрации, технического перевооружения) и (или) приобретения, сметной стоимости (предполагаемой (предельной) стоимости) и (или) стоимости приобретения, а также об общем объеме капитальных вложений за счет всех источников финансового обеспечения с выделением объема бюджетных инвестиций и иных источников финансового</w:t>
      </w:r>
      <w:proofErr w:type="gramEnd"/>
      <w:r>
        <w:rPr>
          <w:sz w:val="26"/>
          <w:szCs w:val="26"/>
        </w:rPr>
        <w:t xml:space="preserve"> обеспечения (с распределением указанных объемов по годам);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>
        <w:rPr>
          <w:sz w:val="26"/>
          <w:szCs w:val="26"/>
        </w:rPr>
        <w:tab/>
        <w:t>обязательство юридического лица, получающего бюджетные инвестиции, обеспечить вложение в строительство (реконструкцию, в том числе с элементами реставрации, техническое перевооружение) объектов капитального строительства и (или) в приобретение объектов недвижимого имущества инвестиций в объеме, предусмотренном в решении Администрации муниципального образования город Саяногорск о предоставлении бюджетных инвестиций юридическому лицу;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bookmarkStart w:id="7" w:name="Par19"/>
      <w:bookmarkEnd w:id="7"/>
      <w:proofErr w:type="gramStart"/>
      <w:r>
        <w:rPr>
          <w:sz w:val="26"/>
          <w:szCs w:val="26"/>
        </w:rPr>
        <w:t>3)</w:t>
      </w:r>
      <w:r>
        <w:rPr>
          <w:sz w:val="26"/>
          <w:szCs w:val="26"/>
        </w:rPr>
        <w:tab/>
        <w:t>обязательство юридического лица, получающего бюджетные инвестиции, обеспечить разработку проектной документации в отношении объектов капитального строительства и проведение инженерных изысканий, выполняемых для подготовки такой проектной документации, проведение государственной экспертизы проектной документации, включающей проверку достоверности определения сметной стоимости строительства объектов капитального строительства в случаях, установленных в части 2 статьи 8.3 Градостроительного кодекса Российской Федерации, и результатов инженерных изысканий, в случае, если</w:t>
      </w:r>
      <w:proofErr w:type="gramEnd"/>
      <w:r>
        <w:rPr>
          <w:sz w:val="26"/>
          <w:szCs w:val="26"/>
        </w:rPr>
        <w:t xml:space="preserve"> в решении о предоставлении бюджетных инвестиций юридическим лицам предусмотрено, что бюджетные инвестиции направляются на разработку проектной и (или) разрешительной документации на объекты капитального строительства;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4)</w:t>
      </w:r>
      <w:r>
        <w:rPr>
          <w:sz w:val="26"/>
          <w:szCs w:val="26"/>
        </w:rPr>
        <w:tab/>
        <w:t>обязательство юридического лица, получающего бюджетные инвестиции, обеспечить осуществление эксплуатационных расходов, необходимых для содержания объектов капитального строительства и (или) объектов недвижимого имущества после ввода их в эксплуатацию и (или) приобретения, без использования на эти цели средств, предоставляемых из бюджета муниципального образования город Саяногорск, в том числе в соответствии с иными договорами о предоставлении бюджетных инвестиций;</w:t>
      </w:r>
      <w:proofErr w:type="gramEnd"/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5)</w:t>
      </w:r>
      <w:r>
        <w:rPr>
          <w:sz w:val="26"/>
          <w:szCs w:val="26"/>
        </w:rPr>
        <w:tab/>
        <w:t>условие о соблюдении юридическим лицом, получающим бюджетные инвестиции, при определении поставщиков (подрядчиков, исполнителей) и исполнении гражданско-правовых договоров, которые полностью либо частично оплачиваются за счет полученных средств,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(в случае реализации инвестиционных проектов по строительству, реконструкции и техническому перевооружению объектов капитального</w:t>
      </w:r>
      <w:proofErr w:type="gramEnd"/>
      <w:r>
        <w:rPr>
          <w:sz w:val="26"/>
          <w:szCs w:val="26"/>
        </w:rPr>
        <w:t xml:space="preserve"> строительства).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bookmarkStart w:id="8" w:name="Par22"/>
      <w:bookmarkEnd w:id="8"/>
      <w:r>
        <w:rPr>
          <w:sz w:val="26"/>
          <w:szCs w:val="26"/>
        </w:rPr>
        <w:t>5.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Договор о предоставлении бюджетных инвестиций в целях последующего предоставления взносов в уставные (складочные) капиталы дочерних обществ юридического лица, получающего бюджетные инвестиции (далее - дочерние общество), и (или) вкладов в имущество дочерних обществ, не увеличивающих их уставный (складочный) капитал (далее - взносы (вклады)), помимо положений, указанных в пункте 3 Требований, также предусматриваются:</w:t>
      </w:r>
      <w:proofErr w:type="gramEnd"/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1)</w:t>
      </w:r>
      <w:r>
        <w:rPr>
          <w:sz w:val="26"/>
          <w:szCs w:val="26"/>
        </w:rPr>
        <w:tab/>
        <w:t>наименования дочерних обществ;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>
        <w:rPr>
          <w:sz w:val="26"/>
          <w:szCs w:val="26"/>
        </w:rPr>
        <w:tab/>
        <w:t>целевое назначение предоставляемых взносов (вкладов), соответствующее целевому назначению предоставляемых бюджетных инвестиций, и их объем (с распределением по годам);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>
        <w:rPr>
          <w:sz w:val="26"/>
          <w:szCs w:val="26"/>
        </w:rPr>
        <w:tab/>
        <w:t>сроки перечисления взносов (вкладов), которые не могут превышать 90 календарных дней со дня перечисления бюджетных инвестиций юридическому лицу, получающему бюджетные инвестиции;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>
        <w:rPr>
          <w:sz w:val="26"/>
          <w:szCs w:val="26"/>
        </w:rPr>
        <w:tab/>
        <w:t>положение о представлении юридическим лицом, получающим бюджетные инвестиции, в составе отчетности, указанной в подпункте 6 пункта 3 Требований, информации об использовании дочерними обществами полученных средств;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5)</w:t>
      </w:r>
      <w:r>
        <w:rPr>
          <w:sz w:val="26"/>
          <w:szCs w:val="26"/>
        </w:rPr>
        <w:tab/>
        <w:t>положения о предоставлении взносов (вкладов) на условиях, предусматривающих право уполномоченного органа, предоставляющего бюджетные инвестиции, на проведение в отношении дочерних обще</w:t>
      </w:r>
      <w:proofErr w:type="gramStart"/>
      <w:r>
        <w:rPr>
          <w:sz w:val="26"/>
          <w:szCs w:val="26"/>
        </w:rPr>
        <w:t>ств пр</w:t>
      </w:r>
      <w:proofErr w:type="gramEnd"/>
      <w:r>
        <w:rPr>
          <w:sz w:val="26"/>
          <w:szCs w:val="26"/>
        </w:rPr>
        <w:t>оверок, предусмотренных подпунктом 7 пункта 3 Требований;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bookmarkStart w:id="9" w:name="Par28"/>
      <w:bookmarkEnd w:id="9"/>
      <w:r>
        <w:rPr>
          <w:sz w:val="26"/>
          <w:szCs w:val="26"/>
        </w:rPr>
        <w:t>6)</w:t>
      </w:r>
      <w:r>
        <w:rPr>
          <w:sz w:val="26"/>
          <w:szCs w:val="26"/>
        </w:rPr>
        <w:tab/>
        <w:t>обязательство юридического лица, получающего бюджетные инвестиции, по предоставлению взносов (вкладов) на условиях, предусмотренных заключаемыми им с каждым из дочерних обществ договорами о предоставлении взноса (вклада), а также ответственность юридического лица, получающего бюджетные инвестиции, за несоблюдение дочерними обществами указанных условий.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Договор о предоставлении бюджетных инвестиций в целях последующего предоставления взносов (вкладов) на осуществление капитальных вложений в объекты капитального строительства, которые находятся (будут находиться) в собственности дочерних обществ, и (или) на приобретение дочерними обществами объектов недвижимого имущества (далее - взносы на осуществление капитальных вложений) предусматривает положения, указанные в пункте 3, подпунктах 1-3 пункта 4 и пункте 5 Требований.</w:t>
      </w:r>
      <w:proofErr w:type="gramEnd"/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bookmarkStart w:id="10" w:name="Par30"/>
      <w:bookmarkEnd w:id="10"/>
      <w:r>
        <w:rPr>
          <w:sz w:val="26"/>
          <w:szCs w:val="26"/>
        </w:rPr>
        <w:t>7.</w:t>
      </w:r>
      <w:r>
        <w:rPr>
          <w:sz w:val="26"/>
          <w:szCs w:val="26"/>
        </w:rPr>
        <w:tab/>
        <w:t>Договором между юридическим лицом, получающим бюджетные инвестиции, и дочерним обществом о предоставлении взноса (вклада), указанным в подпункте 6 пункта 5 Требований, предусматриваются: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>
        <w:rPr>
          <w:sz w:val="26"/>
          <w:szCs w:val="26"/>
        </w:rPr>
        <w:tab/>
        <w:t>целевое назначение взноса (вклада) и его объем (с распределением по годам);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>
        <w:rPr>
          <w:sz w:val="26"/>
          <w:szCs w:val="26"/>
        </w:rPr>
        <w:tab/>
        <w:t>значения результатов предоставления взноса (вклада) и (или) иных показателей, которые должны быть достигнуты дочерним обществом в целях достижения значений соответствующих результатов предоставления бюджетных инвестиций (иных показателей) юридическим лицом, получающим бюджетные инвестиции;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>
        <w:rPr>
          <w:sz w:val="26"/>
          <w:szCs w:val="26"/>
        </w:rPr>
        <w:tab/>
        <w:t>положения, устанавливающие права и обязанности сторон и порядок взаимодействия сторон при реализации договора о предоставлении взноса (вклада);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>
        <w:rPr>
          <w:sz w:val="26"/>
          <w:szCs w:val="26"/>
        </w:rPr>
        <w:tab/>
        <w:t>сроки перечисления взноса (вклада);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5)</w:t>
      </w:r>
      <w:r>
        <w:rPr>
          <w:sz w:val="26"/>
          <w:szCs w:val="26"/>
        </w:rPr>
        <w:tab/>
        <w:t>положения о запрете на приобретение дочерним обществом за счет полученных средств иностранной валюты, за исключением случаев, предусмотренных договором о предоставлении бюджетных инвестиций в отношении операций, предусмотренных абзацем вторым пункта 3 статьи 80 Бюджетного кодекса Российской Федерации;</w:t>
      </w:r>
      <w:proofErr w:type="gramEnd"/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6)</w:t>
      </w:r>
      <w:r>
        <w:rPr>
          <w:sz w:val="26"/>
          <w:szCs w:val="26"/>
        </w:rPr>
        <w:tab/>
        <w:t xml:space="preserve">порядок, форму и сроки представления дочерним обществом юридическому лицу отчетности о расходах, источником финансового обеспечения </w:t>
      </w:r>
      <w:r>
        <w:rPr>
          <w:sz w:val="26"/>
          <w:szCs w:val="26"/>
        </w:rPr>
        <w:lastRenderedPageBreak/>
        <w:t>которых являются полученные средства, и о достижении значений показателей результативности;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7)</w:t>
      </w:r>
      <w:r>
        <w:rPr>
          <w:sz w:val="26"/>
          <w:szCs w:val="26"/>
        </w:rPr>
        <w:tab/>
        <w:t>порядок организации, периодичность, сроки проведения проверок соблюдения дочерним обществом целей и условий предоставления взноса (вклада), а также право юридического лица, получающего бюджетные инвестиции, и уполномоченного органа, предоставляющего бюджетные инвестиции, на проведение таких проверок;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8)</w:t>
      </w:r>
      <w:r>
        <w:rPr>
          <w:sz w:val="26"/>
          <w:szCs w:val="26"/>
        </w:rPr>
        <w:tab/>
        <w:t>сроки (порядок определения сроков) принятия в установленном законодательством Российской Федерации порядке решения об увеличении уставного капитала дочернего общества, являющегося акционерным обществом, путем реализации дополнительного выпуска акций на сумму предоставляемого взноса;</w:t>
      </w:r>
      <w:proofErr w:type="gramEnd"/>
    </w:p>
    <w:p w:rsidR="00CF09A4" w:rsidRDefault="00CF09A4" w:rsidP="00CF09A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sz w:val="26"/>
          <w:szCs w:val="26"/>
        </w:rPr>
        <w:t>9)</w:t>
      </w:r>
      <w:r>
        <w:rPr>
          <w:sz w:val="26"/>
          <w:szCs w:val="26"/>
        </w:rPr>
        <w:tab/>
      </w:r>
      <w:r>
        <w:rPr>
          <w:rFonts w:eastAsiaTheme="minorHAnsi"/>
          <w:sz w:val="26"/>
          <w:szCs w:val="26"/>
          <w:lang w:eastAsia="en-US"/>
        </w:rPr>
        <w:t xml:space="preserve">положения, предусматривающие </w:t>
      </w:r>
      <w:r w:rsidR="00901BDE">
        <w:rPr>
          <w:rFonts w:eastAsiaTheme="minorHAnsi"/>
          <w:sz w:val="26"/>
          <w:szCs w:val="26"/>
          <w:lang w:eastAsia="en-US"/>
        </w:rPr>
        <w:t xml:space="preserve">осуществление операций по перечислению взноса (вклада) за счет средств, отраженных на лицевом счете, указанном в подпункте 10 пункта 3 Требований, на казначейском счете для осуществления и отражения операций с денежными средствами юридических </w:t>
      </w:r>
      <w:r>
        <w:rPr>
          <w:rFonts w:eastAsiaTheme="minorHAnsi"/>
          <w:sz w:val="26"/>
          <w:szCs w:val="26"/>
          <w:lang w:eastAsia="en-US"/>
        </w:rPr>
        <w:t xml:space="preserve">лиц, не являющихся участниками бюджетного процесса, бюджетными и автономными учреждениями, открытый </w:t>
      </w:r>
      <w:r w:rsidR="00901BDE">
        <w:rPr>
          <w:rFonts w:eastAsiaTheme="minorHAnsi"/>
          <w:sz w:val="26"/>
          <w:szCs w:val="26"/>
          <w:lang w:eastAsia="en-US"/>
        </w:rPr>
        <w:t xml:space="preserve">в </w:t>
      </w:r>
      <w:r>
        <w:rPr>
          <w:rFonts w:eastAsiaTheme="minorHAnsi"/>
          <w:sz w:val="26"/>
          <w:szCs w:val="26"/>
          <w:lang w:eastAsia="en-US"/>
        </w:rPr>
        <w:t>территориальном орган</w:t>
      </w:r>
      <w:r w:rsidR="00901BDE">
        <w:rPr>
          <w:rFonts w:eastAsiaTheme="minorHAnsi"/>
          <w:sz w:val="26"/>
          <w:szCs w:val="26"/>
          <w:lang w:eastAsia="en-US"/>
        </w:rPr>
        <w:t>е</w:t>
      </w:r>
      <w:r>
        <w:rPr>
          <w:rFonts w:eastAsiaTheme="minorHAnsi"/>
          <w:sz w:val="26"/>
          <w:szCs w:val="26"/>
          <w:lang w:eastAsia="en-US"/>
        </w:rPr>
        <w:t xml:space="preserve"> Федерального казначейства;</w:t>
      </w:r>
      <w:proofErr w:type="gramEnd"/>
    </w:p>
    <w:p w:rsidR="00CF09A4" w:rsidRDefault="00CF09A4" w:rsidP="00CF09A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10)</w:t>
      </w:r>
      <w:r>
        <w:rPr>
          <w:rFonts w:eastAsiaTheme="minorHAnsi"/>
          <w:sz w:val="26"/>
          <w:szCs w:val="26"/>
          <w:lang w:eastAsia="en-US"/>
        </w:rPr>
        <w:tab/>
        <w:t xml:space="preserve">условие об осуществлении операций по зачислению (списанию) средств на счет, указанный в подпункте 9 настоящего пункта, с отражением указанных операций на лицевом счете, предназначенном для учета операций со средствами юридических лиц, не являющихся участниками бюджетного процесса, открытом </w:t>
      </w:r>
      <w:r w:rsidR="000B4060">
        <w:rPr>
          <w:rFonts w:eastAsiaTheme="minorHAnsi"/>
          <w:sz w:val="26"/>
          <w:szCs w:val="26"/>
          <w:lang w:eastAsia="en-US"/>
        </w:rPr>
        <w:t>дочернему обществу</w:t>
      </w:r>
      <w:r>
        <w:rPr>
          <w:rFonts w:eastAsiaTheme="minorHAnsi"/>
          <w:sz w:val="26"/>
          <w:szCs w:val="26"/>
          <w:lang w:eastAsia="en-US"/>
        </w:rPr>
        <w:t>,</w:t>
      </w:r>
      <w:r w:rsidR="000B4060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в порядке, установленном Федеральным казначейством;</w:t>
      </w:r>
    </w:p>
    <w:p w:rsidR="00CF09A4" w:rsidRDefault="00CF09A4" w:rsidP="00CF09A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11)</w:t>
      </w:r>
      <w:r>
        <w:rPr>
          <w:rFonts w:eastAsiaTheme="minorHAnsi"/>
          <w:sz w:val="26"/>
          <w:szCs w:val="26"/>
          <w:lang w:eastAsia="en-US"/>
        </w:rPr>
        <w:tab/>
        <w:t xml:space="preserve">условие об осуществлении операций по списанию средств, отраженных на лицевом счете, указанном в подпункте 10 настоящего пункта, после проведения территориальным органом Федерального казначейства санкционирования операций в порядке, установленном Министерством финансов Российской Федерации, </w:t>
      </w:r>
      <w:proofErr w:type="gramStart"/>
      <w:r>
        <w:rPr>
          <w:rFonts w:eastAsiaTheme="minorHAnsi"/>
          <w:sz w:val="26"/>
          <w:szCs w:val="26"/>
          <w:lang w:eastAsia="en-US"/>
        </w:rPr>
        <w:t>определяющем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в том числе перечень документов, подлежащих представлению в территориальный орган Федерального казначейства для подтверждения возникновения денежных обязательств юридического лица, получающего бюджетные инвестиции, источником финансового обеспечения которых являются указанные средства;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F09A4">
        <w:rPr>
          <w:sz w:val="26"/>
          <w:szCs w:val="26"/>
        </w:rPr>
        <w:t>2</w:t>
      </w:r>
      <w:r>
        <w:rPr>
          <w:sz w:val="26"/>
          <w:szCs w:val="26"/>
        </w:rPr>
        <w:t>)</w:t>
      </w:r>
      <w:r>
        <w:rPr>
          <w:sz w:val="26"/>
          <w:szCs w:val="26"/>
        </w:rPr>
        <w:tab/>
        <w:t>ответственность дочернего общества за несоблюдение условий, определенных договором о предоставлении взноса (вклада), а также порядок возврата дочерним обществом полученных сре</w:t>
      </w:r>
      <w:proofErr w:type="gramStart"/>
      <w:r>
        <w:rPr>
          <w:sz w:val="26"/>
          <w:szCs w:val="26"/>
        </w:rPr>
        <w:t>дств в сл</w:t>
      </w:r>
      <w:proofErr w:type="gramEnd"/>
      <w:r>
        <w:rPr>
          <w:sz w:val="26"/>
          <w:szCs w:val="26"/>
        </w:rPr>
        <w:t>учае установления факта несоблюдения им целей и условий, определенных указанным договором.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8.</w:t>
      </w:r>
      <w:r>
        <w:rPr>
          <w:sz w:val="26"/>
          <w:szCs w:val="26"/>
        </w:rPr>
        <w:tab/>
        <w:t>Договор между юридическим лицом, получающим бюджетные инвестиции, и дочерним обществом о предоставлении взноса на осуществление капитальных вложений помимо положений, указанных в пункте 7 Требований, также предусматривает: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1)</w:t>
      </w:r>
      <w:r>
        <w:rPr>
          <w:sz w:val="26"/>
          <w:szCs w:val="26"/>
        </w:rPr>
        <w:tab/>
        <w:t>наименование каждого объекта капитального строительства и (или) объекта недвижимого имущества, информация о его мощности, сроке строительства (реконструкции, в том числе с элементами реставрации, технического перевооружения) и (или) приобретения, сметной стоимости (предполагаемой (предельной) стоимости) и (или) стоимости приобретения, а также об общем объеме капитальных вложений за счет всех источников финансового обеспечения с выделением размера взноса на осуществление капитальных вложений (с</w:t>
      </w:r>
      <w:proofErr w:type="gramEnd"/>
      <w:r>
        <w:rPr>
          <w:sz w:val="26"/>
          <w:szCs w:val="26"/>
        </w:rPr>
        <w:t xml:space="preserve"> распределением указанных объемов по годам);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lastRenderedPageBreak/>
        <w:t>2)</w:t>
      </w:r>
      <w:r>
        <w:rPr>
          <w:sz w:val="26"/>
          <w:szCs w:val="26"/>
        </w:rPr>
        <w:tab/>
        <w:t>обязательство дочернего общества направить на строительство (реконструкцию, в том числе с элементами реставрации, техническое перевооружение) объектов капитального строительства и (или) на приобретение объектов недвижимого имущества инвестиции в объеме, предусмотренном принятым в установленном Администрацией муниципального образования город Саяногорск порядке решением о предоставлении бюджетных инвестиций юридическому лицу;</w:t>
      </w:r>
      <w:proofErr w:type="gramEnd"/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3)</w:t>
      </w:r>
      <w:r>
        <w:rPr>
          <w:sz w:val="26"/>
          <w:szCs w:val="26"/>
        </w:rPr>
        <w:tab/>
        <w:t>обязательство дочернего общества обеспечить разработку проектной документации в отношении объектов капитального строительства и проведение инженерных изысканий, выполняемых для подготовки такой проектной документации, проведение государственной экспертизы проектной документации и результатов инженерных изысканий, проведение в установленном Правительством Российской Федерации порядке проверки достоверности определения сметной стоимости объектов капитального строительства в случае, если в решении о предоставлении бюджетных инвестиций юридическому лицу предусмотрено, что</w:t>
      </w:r>
      <w:proofErr w:type="gramEnd"/>
      <w:r>
        <w:rPr>
          <w:sz w:val="26"/>
          <w:szCs w:val="26"/>
        </w:rPr>
        <w:t xml:space="preserve"> бюджетные инвестиции направляются на разработку проектной документации на объекты капитального строительства;</w:t>
      </w:r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4)</w:t>
      </w:r>
      <w:r>
        <w:rPr>
          <w:sz w:val="26"/>
          <w:szCs w:val="26"/>
        </w:rPr>
        <w:tab/>
        <w:t>условие о соблюдении дочерним обществом при определении поставщиков (подрядчиков, исполнителей) и исполнении гражданско-правовых договоров, которые полностью либо частично оплачиваются за счет полученных средств,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(в случае строительства, реконструкции и технического перевооружения объектов капитального строительства).</w:t>
      </w:r>
      <w:proofErr w:type="gramEnd"/>
    </w:p>
    <w:p w:rsidR="00E71E34" w:rsidRDefault="00E71E34" w:rsidP="00E71E34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 Положения договоров о предоставлении взноса (вклада) должны соответствовать аналогичным положениям договоров о предоставлении бюджетных инвестиций.</w:t>
      </w:r>
    </w:p>
    <w:p w:rsidR="00E71E34" w:rsidRPr="00F2544F" w:rsidRDefault="00E71E34" w:rsidP="00E71E34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E71E34" w:rsidRDefault="00E71E34" w:rsidP="00CA7481">
      <w:pPr>
        <w:autoSpaceDE w:val="0"/>
        <w:autoSpaceDN w:val="0"/>
        <w:adjustRightInd w:val="0"/>
        <w:ind w:left="5670"/>
        <w:contextualSpacing/>
        <w:outlineLvl w:val="0"/>
        <w:rPr>
          <w:sz w:val="26"/>
          <w:szCs w:val="26"/>
        </w:rPr>
      </w:pPr>
    </w:p>
    <w:tbl>
      <w:tblPr>
        <w:tblpPr w:leftFromText="180" w:rightFromText="180" w:vertAnchor="text" w:horzAnchor="margin" w:tblpX="115" w:tblpY="246"/>
        <w:tblW w:w="9606" w:type="dxa"/>
        <w:tblLayout w:type="fixed"/>
        <w:tblLook w:val="01E0" w:firstRow="1" w:lastRow="1" w:firstColumn="1" w:lastColumn="1" w:noHBand="0" w:noVBand="0"/>
      </w:tblPr>
      <w:tblGrid>
        <w:gridCol w:w="5070"/>
        <w:gridCol w:w="2268"/>
        <w:gridCol w:w="2268"/>
      </w:tblGrid>
      <w:tr w:rsidR="00CA7481" w:rsidRPr="00014A95" w:rsidTr="00F0665D">
        <w:tc>
          <w:tcPr>
            <w:tcW w:w="5070" w:type="dxa"/>
            <w:vAlign w:val="center"/>
          </w:tcPr>
          <w:p w:rsidR="00CA7481" w:rsidRDefault="00CA7481" w:rsidP="00F0665D">
            <w:pPr>
              <w:pStyle w:val="a5"/>
              <w:keepNext/>
              <w:keepLines/>
              <w:suppressLineNumbers/>
              <w:suppressAutoHyphens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Управляющий</w:t>
            </w:r>
            <w:r w:rsidRPr="00CE28EF">
              <w:rPr>
                <w:sz w:val="26"/>
                <w:szCs w:val="26"/>
              </w:rPr>
              <w:t xml:space="preserve"> делами Администрации</w:t>
            </w:r>
          </w:p>
          <w:p w:rsidR="00CA7481" w:rsidRPr="00CE28EF" w:rsidRDefault="00CA7481" w:rsidP="00F0665D">
            <w:pPr>
              <w:pStyle w:val="a5"/>
              <w:keepNext/>
              <w:keepLines/>
              <w:suppressLineNumbers/>
              <w:suppressAutoHyphens/>
              <w:contextualSpacing/>
              <w:rPr>
                <w:sz w:val="26"/>
                <w:szCs w:val="26"/>
              </w:rPr>
            </w:pPr>
            <w:r w:rsidRPr="00CE28EF">
              <w:rPr>
                <w:sz w:val="26"/>
                <w:szCs w:val="26"/>
              </w:rPr>
              <w:t xml:space="preserve">муниципального образования </w:t>
            </w:r>
            <w:proofErr w:type="spellStart"/>
            <w:r w:rsidRPr="00CE28EF">
              <w:rPr>
                <w:sz w:val="26"/>
                <w:szCs w:val="26"/>
              </w:rPr>
              <w:t>г</w:t>
            </w:r>
            <w:proofErr w:type="gramStart"/>
            <w:r w:rsidRPr="00CE28EF">
              <w:rPr>
                <w:sz w:val="26"/>
                <w:szCs w:val="26"/>
              </w:rPr>
              <w:t>.С</w:t>
            </w:r>
            <w:proofErr w:type="gramEnd"/>
            <w:r w:rsidRPr="00CE28EF">
              <w:rPr>
                <w:sz w:val="26"/>
                <w:szCs w:val="26"/>
              </w:rPr>
              <w:t>аяногорск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A7481" w:rsidRPr="00CE28EF" w:rsidRDefault="00CA7481" w:rsidP="00F0665D">
            <w:pPr>
              <w:pStyle w:val="a5"/>
              <w:keepNext/>
              <w:keepLines/>
              <w:suppressLineNumbers/>
              <w:suppressAutoHyphens/>
              <w:contextualSpacing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bottom"/>
          </w:tcPr>
          <w:p w:rsidR="00CA7481" w:rsidRPr="00CE28EF" w:rsidRDefault="00CA7481" w:rsidP="00F0665D">
            <w:pPr>
              <w:pStyle w:val="a5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Л.В. </w:t>
            </w:r>
            <w:proofErr w:type="spellStart"/>
            <w:r>
              <w:rPr>
                <w:sz w:val="26"/>
                <w:szCs w:val="26"/>
              </w:rPr>
              <w:t>Байтобетова</w:t>
            </w:r>
            <w:proofErr w:type="spellEnd"/>
          </w:p>
        </w:tc>
      </w:tr>
    </w:tbl>
    <w:p w:rsidR="00CA7481" w:rsidRDefault="00CA7481" w:rsidP="00CA7481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E71E34" w:rsidRDefault="00E71E34" w:rsidP="00CA7481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E71E34" w:rsidRDefault="00E71E34" w:rsidP="00CA7481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E71E34" w:rsidRPr="0075619C" w:rsidRDefault="00E71E34" w:rsidP="00CA7481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:rsidR="00CA7481" w:rsidRDefault="00CA7481" w:rsidP="00CA7481">
      <w:pPr>
        <w:pStyle w:val="a5"/>
        <w:ind w:left="-709"/>
        <w:contextualSpacing/>
        <w:rPr>
          <w:i/>
          <w:sz w:val="16"/>
          <w:szCs w:val="16"/>
        </w:rPr>
      </w:pPr>
    </w:p>
    <w:p w:rsidR="00CA7481" w:rsidRDefault="00CA7481" w:rsidP="00CA7481">
      <w:pPr>
        <w:pStyle w:val="a5"/>
        <w:ind w:left="-709"/>
        <w:contextualSpacing/>
        <w:rPr>
          <w:i/>
          <w:sz w:val="16"/>
          <w:szCs w:val="16"/>
        </w:rPr>
      </w:pPr>
    </w:p>
    <w:p w:rsidR="00CA7481" w:rsidRDefault="00CA7481" w:rsidP="00CA7481">
      <w:pPr>
        <w:pStyle w:val="a5"/>
        <w:ind w:left="-709"/>
        <w:contextualSpacing/>
        <w:rPr>
          <w:i/>
          <w:sz w:val="16"/>
          <w:szCs w:val="16"/>
        </w:rPr>
      </w:pPr>
    </w:p>
    <w:p w:rsidR="00CA7481" w:rsidRDefault="00CA7481" w:rsidP="00CA7481">
      <w:pPr>
        <w:pStyle w:val="a5"/>
        <w:ind w:left="-709"/>
        <w:contextualSpacing/>
        <w:rPr>
          <w:i/>
          <w:sz w:val="16"/>
          <w:szCs w:val="16"/>
        </w:rPr>
      </w:pPr>
    </w:p>
    <w:sectPr w:rsidR="00CA7481" w:rsidSect="00BC7CD9">
      <w:pgSz w:w="11905" w:h="16838"/>
      <w:pgMar w:top="1134" w:right="624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967"/>
    <w:rsid w:val="000016C6"/>
    <w:rsid w:val="00004B39"/>
    <w:rsid w:val="000327F4"/>
    <w:rsid w:val="000415BB"/>
    <w:rsid w:val="0005487D"/>
    <w:rsid w:val="00064A90"/>
    <w:rsid w:val="0007195E"/>
    <w:rsid w:val="000A64B8"/>
    <w:rsid w:val="000B4060"/>
    <w:rsid w:val="000C1118"/>
    <w:rsid w:val="000D489F"/>
    <w:rsid w:val="000D5897"/>
    <w:rsid w:val="000E796F"/>
    <w:rsid w:val="000F4FB8"/>
    <w:rsid w:val="00123937"/>
    <w:rsid w:val="00140019"/>
    <w:rsid w:val="0015517A"/>
    <w:rsid w:val="00165A52"/>
    <w:rsid w:val="001974F2"/>
    <w:rsid w:val="001C1502"/>
    <w:rsid w:val="001C6141"/>
    <w:rsid w:val="001C65E1"/>
    <w:rsid w:val="001F47F6"/>
    <w:rsid w:val="00230324"/>
    <w:rsid w:val="00237585"/>
    <w:rsid w:val="00264D7F"/>
    <w:rsid w:val="00292DAA"/>
    <w:rsid w:val="002A6A99"/>
    <w:rsid w:val="002C2EDC"/>
    <w:rsid w:val="002E4157"/>
    <w:rsid w:val="002F330F"/>
    <w:rsid w:val="003020DC"/>
    <w:rsid w:val="003204EA"/>
    <w:rsid w:val="00365CF1"/>
    <w:rsid w:val="0038168B"/>
    <w:rsid w:val="0038220E"/>
    <w:rsid w:val="003858B2"/>
    <w:rsid w:val="0039754B"/>
    <w:rsid w:val="003A3775"/>
    <w:rsid w:val="003A50C4"/>
    <w:rsid w:val="003A53BD"/>
    <w:rsid w:val="003B5952"/>
    <w:rsid w:val="003E5150"/>
    <w:rsid w:val="003F610E"/>
    <w:rsid w:val="00400F9F"/>
    <w:rsid w:val="0044001F"/>
    <w:rsid w:val="00460DEE"/>
    <w:rsid w:val="00484F15"/>
    <w:rsid w:val="004A0E07"/>
    <w:rsid w:val="004A19A0"/>
    <w:rsid w:val="004B475C"/>
    <w:rsid w:val="004C07A9"/>
    <w:rsid w:val="004D4F0C"/>
    <w:rsid w:val="004E0B1B"/>
    <w:rsid w:val="004E5008"/>
    <w:rsid w:val="00504E3B"/>
    <w:rsid w:val="00540A97"/>
    <w:rsid w:val="0054715D"/>
    <w:rsid w:val="00575933"/>
    <w:rsid w:val="00581D9C"/>
    <w:rsid w:val="00585991"/>
    <w:rsid w:val="00593139"/>
    <w:rsid w:val="005E47C4"/>
    <w:rsid w:val="005F2998"/>
    <w:rsid w:val="005F5A2A"/>
    <w:rsid w:val="0060341D"/>
    <w:rsid w:val="0063093B"/>
    <w:rsid w:val="00635DA0"/>
    <w:rsid w:val="00651EF9"/>
    <w:rsid w:val="006606EE"/>
    <w:rsid w:val="00664058"/>
    <w:rsid w:val="00671E3F"/>
    <w:rsid w:val="00675650"/>
    <w:rsid w:val="00683C7D"/>
    <w:rsid w:val="006908E8"/>
    <w:rsid w:val="00691E37"/>
    <w:rsid w:val="006A3B12"/>
    <w:rsid w:val="006B30CC"/>
    <w:rsid w:val="006B78BB"/>
    <w:rsid w:val="006C6667"/>
    <w:rsid w:val="006E1B98"/>
    <w:rsid w:val="00740AB7"/>
    <w:rsid w:val="00755968"/>
    <w:rsid w:val="0075619C"/>
    <w:rsid w:val="00781829"/>
    <w:rsid w:val="007851A3"/>
    <w:rsid w:val="00785B55"/>
    <w:rsid w:val="00792519"/>
    <w:rsid w:val="007B19A3"/>
    <w:rsid w:val="007B6848"/>
    <w:rsid w:val="007C4F52"/>
    <w:rsid w:val="007F3AAB"/>
    <w:rsid w:val="008047B5"/>
    <w:rsid w:val="0081203D"/>
    <w:rsid w:val="008126E6"/>
    <w:rsid w:val="00817059"/>
    <w:rsid w:val="008242D1"/>
    <w:rsid w:val="00876E85"/>
    <w:rsid w:val="008800DA"/>
    <w:rsid w:val="00886D5F"/>
    <w:rsid w:val="008F2FA1"/>
    <w:rsid w:val="00901BDE"/>
    <w:rsid w:val="0093210C"/>
    <w:rsid w:val="00934967"/>
    <w:rsid w:val="009406F2"/>
    <w:rsid w:val="0096579B"/>
    <w:rsid w:val="009835D2"/>
    <w:rsid w:val="009A2279"/>
    <w:rsid w:val="009B4B96"/>
    <w:rsid w:val="009C7EBF"/>
    <w:rsid w:val="009D6B8A"/>
    <w:rsid w:val="009E05F1"/>
    <w:rsid w:val="009E2E5B"/>
    <w:rsid w:val="009E313D"/>
    <w:rsid w:val="00A03DDD"/>
    <w:rsid w:val="00A24BF0"/>
    <w:rsid w:val="00A4059F"/>
    <w:rsid w:val="00A47F49"/>
    <w:rsid w:val="00A67EB3"/>
    <w:rsid w:val="00A9515D"/>
    <w:rsid w:val="00AA0601"/>
    <w:rsid w:val="00AB2704"/>
    <w:rsid w:val="00AB28EB"/>
    <w:rsid w:val="00AB3A52"/>
    <w:rsid w:val="00AC654F"/>
    <w:rsid w:val="00AD2ED3"/>
    <w:rsid w:val="00AD3678"/>
    <w:rsid w:val="00AE0EDB"/>
    <w:rsid w:val="00AE6C75"/>
    <w:rsid w:val="00B5604E"/>
    <w:rsid w:val="00B74900"/>
    <w:rsid w:val="00B7559F"/>
    <w:rsid w:val="00BB1317"/>
    <w:rsid w:val="00BC7CD9"/>
    <w:rsid w:val="00BD2F28"/>
    <w:rsid w:val="00BD4917"/>
    <w:rsid w:val="00BE3587"/>
    <w:rsid w:val="00BF397D"/>
    <w:rsid w:val="00BF44CA"/>
    <w:rsid w:val="00BF57B8"/>
    <w:rsid w:val="00C0192F"/>
    <w:rsid w:val="00C02A94"/>
    <w:rsid w:val="00C25338"/>
    <w:rsid w:val="00C33C43"/>
    <w:rsid w:val="00C56567"/>
    <w:rsid w:val="00C643F1"/>
    <w:rsid w:val="00C64F04"/>
    <w:rsid w:val="00C71BA8"/>
    <w:rsid w:val="00C902CA"/>
    <w:rsid w:val="00C977BE"/>
    <w:rsid w:val="00CA0E56"/>
    <w:rsid w:val="00CA5CD1"/>
    <w:rsid w:val="00CA63F4"/>
    <w:rsid w:val="00CA7481"/>
    <w:rsid w:val="00CB559B"/>
    <w:rsid w:val="00CC713E"/>
    <w:rsid w:val="00CD4EA4"/>
    <w:rsid w:val="00CD7663"/>
    <w:rsid w:val="00CE027F"/>
    <w:rsid w:val="00CE28EF"/>
    <w:rsid w:val="00CE5845"/>
    <w:rsid w:val="00CF09A4"/>
    <w:rsid w:val="00D10E1B"/>
    <w:rsid w:val="00D172BE"/>
    <w:rsid w:val="00D20011"/>
    <w:rsid w:val="00D24BFF"/>
    <w:rsid w:val="00D4744E"/>
    <w:rsid w:val="00D71CDC"/>
    <w:rsid w:val="00D74AC2"/>
    <w:rsid w:val="00D76FE8"/>
    <w:rsid w:val="00D8490B"/>
    <w:rsid w:val="00D97084"/>
    <w:rsid w:val="00DB12DC"/>
    <w:rsid w:val="00DB4548"/>
    <w:rsid w:val="00DC3D39"/>
    <w:rsid w:val="00DC69A2"/>
    <w:rsid w:val="00DD66E8"/>
    <w:rsid w:val="00DE613D"/>
    <w:rsid w:val="00DE6CFA"/>
    <w:rsid w:val="00E03285"/>
    <w:rsid w:val="00E04B23"/>
    <w:rsid w:val="00E25145"/>
    <w:rsid w:val="00E67BCE"/>
    <w:rsid w:val="00E71E34"/>
    <w:rsid w:val="00E911B6"/>
    <w:rsid w:val="00EB0E66"/>
    <w:rsid w:val="00ED7F8E"/>
    <w:rsid w:val="00EF4788"/>
    <w:rsid w:val="00F0665D"/>
    <w:rsid w:val="00F27F27"/>
    <w:rsid w:val="00F37C7E"/>
    <w:rsid w:val="00F60E1F"/>
    <w:rsid w:val="00F61418"/>
    <w:rsid w:val="00F6544C"/>
    <w:rsid w:val="00FA37C2"/>
    <w:rsid w:val="00FC794B"/>
    <w:rsid w:val="00FE043C"/>
    <w:rsid w:val="00FE27F3"/>
    <w:rsid w:val="00FF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A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A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39754B"/>
    <w:rPr>
      <w:sz w:val="28"/>
    </w:rPr>
  </w:style>
  <w:style w:type="character" w:customStyle="1" w:styleId="a6">
    <w:name w:val="Основной текст Знак"/>
    <w:basedOn w:val="a0"/>
    <w:link w:val="a5"/>
    <w:rsid w:val="003975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349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9349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AC654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691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A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A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39754B"/>
    <w:rPr>
      <w:sz w:val="28"/>
    </w:rPr>
  </w:style>
  <w:style w:type="character" w:customStyle="1" w:styleId="a6">
    <w:name w:val="Основной текст Знак"/>
    <w:basedOn w:val="a0"/>
    <w:link w:val="a5"/>
    <w:rsid w:val="003975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349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9349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AC654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691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3B36A-665F-4B04-BE23-4824B871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2482</TotalTime>
  <Pages>9</Pages>
  <Words>3484</Words>
  <Characters>19864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Андрюшина Наталья Сергеевна</dc:creator>
  <cp:lastModifiedBy>Андрюшина Наталья Сергеевна</cp:lastModifiedBy>
  <cp:revision>152</cp:revision>
  <cp:lastPrinted>2024-04-03T10:10:00Z</cp:lastPrinted>
  <dcterms:created xsi:type="dcterms:W3CDTF">2022-08-03T03:27:00Z</dcterms:created>
  <dcterms:modified xsi:type="dcterms:W3CDTF">2024-04-08T04:14:00Z</dcterms:modified>
</cp:coreProperties>
</file>