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DD" w:rsidRDefault="008A3FCC" w:rsidP="00C54DDD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Приложение №1 </w:t>
      </w:r>
      <w:r w:rsidR="00C54DDD" w:rsidRPr="002250D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муниципального образования город Саяногорск </w:t>
      </w:r>
    </w:p>
    <w:p w:rsidR="00C54DDD" w:rsidRPr="002250DF" w:rsidRDefault="00C54DDD" w:rsidP="00C54DDD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2250DF">
        <w:rPr>
          <w:rFonts w:ascii="Times New Roman" w:hAnsi="Times New Roman" w:cs="Times New Roman"/>
          <w:sz w:val="20"/>
          <w:szCs w:val="24"/>
        </w:rPr>
        <w:t>от</w:t>
      </w:r>
      <w:proofErr w:type="gramEnd"/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«</w:t>
      </w:r>
      <w:proofErr w:type="gramStart"/>
      <w:r w:rsidRPr="002250DF">
        <w:rPr>
          <w:rFonts w:ascii="Times New Roman" w:hAnsi="Times New Roman" w:cs="Times New Roman"/>
          <w:sz w:val="20"/>
          <w:szCs w:val="24"/>
        </w:rPr>
        <w:t>Об</w:t>
      </w:r>
      <w:proofErr w:type="gramEnd"/>
      <w:r w:rsidRPr="002250DF">
        <w:rPr>
          <w:rFonts w:ascii="Times New Roman" w:hAnsi="Times New Roman" w:cs="Times New Roman"/>
          <w:sz w:val="20"/>
          <w:szCs w:val="24"/>
        </w:rPr>
        <w:t xml:space="preserve"> утверждении </w:t>
      </w:r>
      <w:r>
        <w:rPr>
          <w:rFonts w:ascii="Times New Roman" w:hAnsi="Times New Roman" w:cs="Times New Roman"/>
          <w:sz w:val="20"/>
          <w:szCs w:val="24"/>
        </w:rPr>
        <w:t xml:space="preserve">Технического задания </w:t>
      </w:r>
      <w:r w:rsidRPr="002250DF">
        <w:rPr>
          <w:rFonts w:ascii="Times New Roman" w:hAnsi="Times New Roman" w:cs="Times New Roman"/>
          <w:sz w:val="20"/>
          <w:szCs w:val="24"/>
        </w:rPr>
        <w:t xml:space="preserve">на разработку инвестиционной программы в сфере водоснабжения и водоотведения </w:t>
      </w:r>
    </w:p>
    <w:p w:rsidR="00C54DDD" w:rsidRPr="002250DF" w:rsidRDefault="00C54DDD" w:rsidP="00C54DDD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ООО «</w:t>
      </w:r>
      <w:proofErr w:type="spellStart"/>
      <w:r w:rsidRPr="002250DF">
        <w:rPr>
          <w:rFonts w:ascii="Times New Roman" w:hAnsi="Times New Roman" w:cs="Times New Roman"/>
          <w:sz w:val="20"/>
          <w:szCs w:val="24"/>
        </w:rPr>
        <w:t>Саяногорские</w:t>
      </w:r>
      <w:proofErr w:type="spellEnd"/>
      <w:r w:rsidRPr="002250DF">
        <w:rPr>
          <w:rFonts w:ascii="Times New Roman" w:hAnsi="Times New Roman" w:cs="Times New Roman"/>
          <w:sz w:val="20"/>
          <w:szCs w:val="24"/>
        </w:rPr>
        <w:t xml:space="preserve"> коммунальные системы» на 202</w:t>
      </w:r>
      <w:r>
        <w:rPr>
          <w:rFonts w:ascii="Times New Roman" w:hAnsi="Times New Roman" w:cs="Times New Roman"/>
          <w:sz w:val="20"/>
          <w:szCs w:val="24"/>
        </w:rPr>
        <w:t>2</w:t>
      </w:r>
      <w:r w:rsidRPr="002250DF">
        <w:rPr>
          <w:rFonts w:ascii="Times New Roman" w:hAnsi="Times New Roman" w:cs="Times New Roman"/>
          <w:sz w:val="20"/>
          <w:szCs w:val="24"/>
        </w:rPr>
        <w:t>-202</w:t>
      </w:r>
      <w:r>
        <w:rPr>
          <w:rFonts w:ascii="Times New Roman" w:hAnsi="Times New Roman" w:cs="Times New Roman"/>
          <w:sz w:val="20"/>
          <w:szCs w:val="24"/>
        </w:rPr>
        <w:t>4</w:t>
      </w:r>
      <w:r w:rsidRPr="002250DF">
        <w:rPr>
          <w:rFonts w:ascii="Times New Roman" w:hAnsi="Times New Roman" w:cs="Times New Roman"/>
          <w:sz w:val="20"/>
          <w:szCs w:val="24"/>
        </w:rPr>
        <w:t>годы</w:t>
      </w:r>
      <w:r>
        <w:rPr>
          <w:rFonts w:ascii="Times New Roman" w:hAnsi="Times New Roman" w:cs="Times New Roman"/>
          <w:sz w:val="20"/>
          <w:szCs w:val="24"/>
        </w:rPr>
        <w:t>»</w:t>
      </w:r>
    </w:p>
    <w:p w:rsidR="00C54DDD" w:rsidRDefault="00C54DDD" w:rsidP="00C54DDD">
      <w:pPr>
        <w:spacing w:after="0"/>
        <w:rPr>
          <w:sz w:val="24"/>
          <w:szCs w:val="24"/>
        </w:rPr>
      </w:pPr>
    </w:p>
    <w:p w:rsidR="00C54DDD" w:rsidRPr="00070EEC" w:rsidRDefault="00C54DDD" w:rsidP="00C54DDD">
      <w:pPr>
        <w:spacing w:after="0"/>
        <w:rPr>
          <w:sz w:val="24"/>
          <w:szCs w:val="24"/>
        </w:rPr>
      </w:pPr>
    </w:p>
    <w:p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Саяногорские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коммунальные системы» на 2022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01.04.2020</w:t>
      </w:r>
      <w:r w:rsidRPr="002801F2">
        <w:rPr>
          <w:rFonts w:ascii="Times New Roman" w:hAnsi="Times New Roman" w:cs="Times New Roman"/>
        </w:rPr>
        <w:t xml:space="preserve"> г.) «О водоснабжении и водоотведении» (далее – Федеральный закон 416-ФЗ).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26.07.2019г.) «Об энергосбережении </w:t>
      </w:r>
      <w:proofErr w:type="gramStart"/>
      <w:r w:rsidRPr="002801F2">
        <w:rPr>
          <w:rFonts w:ascii="Times New Roman" w:hAnsi="Times New Roman" w:cs="Times New Roman"/>
        </w:rPr>
        <w:t>и</w:t>
      </w:r>
      <w:proofErr w:type="gramEnd"/>
      <w:r w:rsidRPr="002801F2">
        <w:rPr>
          <w:rFonts w:ascii="Times New Roman" w:hAnsi="Times New Roman" w:cs="Times New Roman"/>
        </w:rPr>
        <w:t xml:space="preserve">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proofErr w:type="gramStart"/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г.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</w:t>
      </w:r>
      <w:proofErr w:type="gramEnd"/>
      <w:r w:rsidRPr="002801F2">
        <w:rPr>
          <w:rFonts w:ascii="Times New Roman" w:hAnsi="Times New Roman" w:cs="Times New Roman"/>
        </w:rPr>
        <w:t xml:space="preserve"> </w:t>
      </w:r>
      <w:proofErr w:type="spellStart"/>
      <w:r w:rsidRPr="002801F2">
        <w:rPr>
          <w:rFonts w:ascii="Times New Roman" w:hAnsi="Times New Roman" w:cs="Times New Roman"/>
        </w:rPr>
        <w:t>Черемушки</w:t>
      </w:r>
      <w:proofErr w:type="spellEnd"/>
      <w:r w:rsidRPr="002801F2">
        <w:rPr>
          <w:rFonts w:ascii="Times New Roman" w:hAnsi="Times New Roman" w:cs="Times New Roman"/>
        </w:rPr>
        <w:t>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proofErr w:type="gramStart"/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г.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</w:t>
      </w:r>
      <w:proofErr w:type="gramEnd"/>
      <w:r w:rsidRPr="002801F2">
        <w:rPr>
          <w:rFonts w:ascii="Times New Roman" w:hAnsi="Times New Roman" w:cs="Times New Roman"/>
        </w:rPr>
        <w:t xml:space="preserve"> </w:t>
      </w:r>
      <w:proofErr w:type="spellStart"/>
      <w:r w:rsidRPr="002801F2">
        <w:rPr>
          <w:rFonts w:ascii="Times New Roman" w:hAnsi="Times New Roman" w:cs="Times New Roman"/>
        </w:rPr>
        <w:t>Черемушки</w:t>
      </w:r>
      <w:proofErr w:type="spellEnd"/>
      <w:r w:rsidRPr="002801F2">
        <w:rPr>
          <w:rFonts w:ascii="Times New Roman" w:hAnsi="Times New Roman" w:cs="Times New Roman"/>
        </w:rPr>
        <w:t>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г. № 641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>.)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г. № 641).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г. № 644 (ред. от </w:t>
      </w:r>
      <w:r w:rsidR="00D2410A" w:rsidRPr="002801F2">
        <w:rPr>
          <w:rFonts w:ascii="Times New Roman" w:hAnsi="Times New Roman" w:cs="Times New Roman"/>
        </w:rPr>
        <w:t>22.05</w:t>
      </w:r>
      <w:r w:rsidRPr="002801F2">
        <w:rPr>
          <w:rFonts w:ascii="Times New Roman" w:hAnsi="Times New Roman" w:cs="Times New Roman"/>
        </w:rPr>
        <w:t>.2020г.)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г. № 406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 г.) «О государственном регулировании тарифов в сфере водоснабжения и водоотведения».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13.02.2006 г. №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 г.)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Приказ Минстроя России от 04.04.2014 г.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г. 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Саяногорск.</w:t>
      </w:r>
    </w:p>
    <w:p w:rsidR="00C54DDD" w:rsidRDefault="00C54DDD" w:rsidP="00C54DDD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lastRenderedPageBreak/>
        <w:t>ООО «</w:t>
      </w:r>
      <w:proofErr w:type="spellStart"/>
      <w:r w:rsidRPr="00F5584B">
        <w:rPr>
          <w:rFonts w:ascii="Times New Roman" w:hAnsi="Times New Roman" w:cs="Times New Roman"/>
          <w:sz w:val="24"/>
          <w:szCs w:val="24"/>
        </w:rPr>
        <w:t>Саяногорские</w:t>
      </w:r>
      <w:proofErr w:type="spellEnd"/>
      <w:r w:rsidRPr="00F5584B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r w:rsidRPr="0097269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7269A">
        <w:rPr>
          <w:rFonts w:ascii="Times New Roman" w:hAnsi="Times New Roman" w:cs="Times New Roman"/>
          <w:sz w:val="24"/>
          <w:szCs w:val="24"/>
        </w:rPr>
        <w:t>Саяногорские</w:t>
      </w:r>
      <w:proofErr w:type="spellEnd"/>
      <w:r w:rsidRPr="0097269A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>ООО «</w:t>
      </w:r>
      <w:proofErr w:type="spellStart"/>
      <w:r w:rsidRPr="003E07B4">
        <w:rPr>
          <w:rFonts w:ascii="Times New Roman" w:hAnsi="Times New Roman" w:cs="Times New Roman"/>
          <w:b/>
        </w:rPr>
        <w:t>Саяногорские</w:t>
      </w:r>
      <w:proofErr w:type="spellEnd"/>
      <w:r w:rsidRPr="003E07B4">
        <w:rPr>
          <w:rFonts w:ascii="Times New Roman" w:hAnsi="Times New Roman" w:cs="Times New Roman"/>
          <w:b/>
        </w:rPr>
        <w:t xml:space="preserve"> коммунальные системы» </w:t>
      </w:r>
    </w:p>
    <w:p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>
        <w:rPr>
          <w:rFonts w:ascii="Times New Roman" w:hAnsi="Times New Roman" w:cs="Times New Roman"/>
        </w:rPr>
        <w:t xml:space="preserve">2 </w:t>
      </w:r>
      <w:r w:rsidRPr="00EB47FE">
        <w:rPr>
          <w:rFonts w:ascii="Times New Roman" w:hAnsi="Times New Roman" w:cs="Times New Roman"/>
        </w:rPr>
        <w:t>г. по 31.12.202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Инвестиционная программа разрабатывается в </w:t>
      </w:r>
      <w:proofErr w:type="gramStart"/>
      <w:r w:rsidRPr="00EB47FE">
        <w:rPr>
          <w:rFonts w:ascii="Times New Roman" w:hAnsi="Times New Roman" w:cs="Times New Roman"/>
        </w:rPr>
        <w:t>соответствии</w:t>
      </w:r>
      <w:proofErr w:type="gramEnd"/>
      <w:r w:rsidRPr="00EB47FE">
        <w:rPr>
          <w:rFonts w:ascii="Times New Roman" w:hAnsi="Times New Roman" w:cs="Times New Roman"/>
        </w:rPr>
        <w:t xml:space="preserve">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:rsidR="00C54DDD" w:rsidRPr="00B90098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</w:t>
      </w:r>
      <w:proofErr w:type="spellStart"/>
      <w:r w:rsidRPr="003E07B4">
        <w:rPr>
          <w:rFonts w:ascii="Times New Roman" w:hAnsi="Times New Roman" w:cs="Times New Roman"/>
        </w:rPr>
        <w:t>Саяногорские</w:t>
      </w:r>
      <w:proofErr w:type="spellEnd"/>
      <w:r w:rsidRPr="003E07B4">
        <w:rPr>
          <w:rFonts w:ascii="Times New Roman" w:hAnsi="Times New Roman" w:cs="Times New Roman"/>
        </w:rPr>
        <w:t xml:space="preserve">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2</w:t>
      </w:r>
      <w:r w:rsidRPr="00B90098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</w:t>
      </w:r>
      <w:proofErr w:type="spellStart"/>
      <w:r w:rsidRPr="003E07B4">
        <w:rPr>
          <w:rFonts w:ascii="Times New Roman" w:hAnsi="Times New Roman" w:cs="Times New Roman"/>
        </w:rPr>
        <w:t>Саяногорские</w:t>
      </w:r>
      <w:proofErr w:type="spellEnd"/>
      <w:r w:rsidRPr="003E07B4">
        <w:rPr>
          <w:rFonts w:ascii="Times New Roman" w:hAnsi="Times New Roman" w:cs="Times New Roman"/>
        </w:rPr>
        <w:t xml:space="preserve">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2</w:t>
      </w:r>
      <w:r w:rsidRPr="00EB47FE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</w:t>
      </w:r>
      <w:proofErr w:type="gramEnd"/>
      <w:r w:rsidRPr="00EB47FE">
        <w:rPr>
          <w:rFonts w:ascii="Times New Roman" w:hAnsi="Times New Roman" w:cs="Times New Roman"/>
        </w:rPr>
        <w:t xml:space="preserve"> технических характеристик таких объектов до и после реализации мероприятия.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в </w:t>
      </w:r>
      <w:proofErr w:type="gramStart"/>
      <w:r w:rsidRPr="00EB47FE">
        <w:rPr>
          <w:rFonts w:ascii="Times New Roman" w:hAnsi="Times New Roman" w:cs="Times New Roman"/>
        </w:rPr>
        <w:t>рамках</w:t>
      </w:r>
      <w:proofErr w:type="gramEnd"/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proofErr w:type="gramStart"/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  <w:proofErr w:type="gramEnd"/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proofErr w:type="gramStart"/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  <w:proofErr w:type="gramEnd"/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 xml:space="preserve">Модернизация или реконструкция существующих объектов централизованных систем водоснабжения и (или) водоотведения в </w:t>
      </w:r>
      <w:proofErr w:type="gramStart"/>
      <w:r w:rsidRPr="00EB47FE">
        <w:rPr>
          <w:rFonts w:ascii="Times New Roman" w:hAnsi="Times New Roman" w:cs="Times New Roman"/>
        </w:rPr>
        <w:t>целях</w:t>
      </w:r>
      <w:proofErr w:type="gramEnd"/>
      <w:r w:rsidRPr="00EB47FE">
        <w:rPr>
          <w:rFonts w:ascii="Times New Roman" w:hAnsi="Times New Roman" w:cs="Times New Roman"/>
        </w:rPr>
        <w:t xml:space="preserve"> снижения уровня износа существующих объектов, в том числе: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</w:t>
      </w:r>
      <w:proofErr w:type="spellStart"/>
      <w:r w:rsidRPr="00EB47FE">
        <w:rPr>
          <w:rFonts w:ascii="Times New Roman" w:hAnsi="Times New Roman" w:cs="Times New Roman"/>
        </w:rPr>
        <w:t>энергоэффективности</w:t>
      </w:r>
      <w:proofErr w:type="spellEnd"/>
      <w:r w:rsidRPr="00EB47FE">
        <w:rPr>
          <w:rFonts w:ascii="Times New Roman" w:hAnsi="Times New Roman" w:cs="Times New Roman"/>
        </w:rPr>
        <w:t xml:space="preserve"> объектов централизованных систем водоснабжения и (или) водоотведения, не включённых в прочие группы мероприятий;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:rsidR="00C54DDD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EB47FE">
        <w:rPr>
          <w:rFonts w:ascii="Times New Roman" w:hAnsi="Times New Roman" w:cs="Times New Roman"/>
          <w:sz w:val="24"/>
          <w:szCs w:val="24"/>
        </w:rPr>
        <w:t>Саяногорские</w:t>
      </w:r>
      <w:proofErr w:type="spellEnd"/>
      <w:r w:rsidRPr="00EB47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:rsidR="00C54DDD" w:rsidRPr="00EB47FE" w:rsidRDefault="00C54DDD" w:rsidP="00C54DDD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:rsidR="00C54DDD" w:rsidRPr="00EB47FE" w:rsidRDefault="00C54DDD" w:rsidP="00C54DDD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Стоимость мероприятий Инвестиционной программы в </w:t>
      </w:r>
      <w:proofErr w:type="gramStart"/>
      <w:r w:rsidRPr="00EB47FE">
        <w:rPr>
          <w:rFonts w:ascii="Times New Roman" w:hAnsi="Times New Roman" w:cs="Times New Roman"/>
        </w:rPr>
        <w:t>перечне</w:t>
      </w:r>
      <w:proofErr w:type="gramEnd"/>
      <w:r w:rsidRPr="00EB47FE">
        <w:rPr>
          <w:rFonts w:ascii="Times New Roman" w:hAnsi="Times New Roman" w:cs="Times New Roman"/>
        </w:rPr>
        <w:t xml:space="preserve"> мероприятий по годам реализации должна соответствовать объёмам финансирования Инвестиционной программы.</w:t>
      </w:r>
    </w:p>
    <w:p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:rsidR="00C54DDD" w:rsidRPr="00B90098" w:rsidRDefault="00C54DDD" w:rsidP="00C54DDD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 xml:space="preserve">Корректировка Технического задания осуществляется в </w:t>
      </w:r>
      <w:proofErr w:type="gramStart"/>
      <w:r w:rsidRPr="00B90098">
        <w:rPr>
          <w:rFonts w:ascii="Times New Roman" w:hAnsi="Times New Roman" w:cs="Times New Roman"/>
        </w:rPr>
        <w:t>случаях</w:t>
      </w:r>
      <w:proofErr w:type="gramEnd"/>
      <w:r w:rsidRPr="00B90098">
        <w:rPr>
          <w:rFonts w:ascii="Times New Roman" w:hAnsi="Times New Roman" w:cs="Times New Roman"/>
        </w:rPr>
        <w:t>:</w:t>
      </w:r>
    </w:p>
    <w:p w:rsidR="00C54DDD" w:rsidRPr="00B90098" w:rsidRDefault="00C54DDD" w:rsidP="00C54DDD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C54DDD" w:rsidRDefault="00C54DDD" w:rsidP="00C54DDD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lastRenderedPageBreak/>
        <w:t>- необходимости внесения изменений в утверждённый перечень мероприятий;</w:t>
      </w:r>
    </w:p>
    <w:p w:rsidR="00E761DF" w:rsidRPr="00B90098" w:rsidRDefault="00E761DF" w:rsidP="00C54DDD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изменение условий концессионных соглашений (актуализация перечня обязательных мероприятий);</w:t>
      </w:r>
    </w:p>
    <w:p w:rsidR="00C54DDD" w:rsidRPr="00B90098" w:rsidRDefault="00E761DF" w:rsidP="00C54DDD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bookmarkStart w:id="0" w:name="_GoBack"/>
      <w:bookmarkEnd w:id="0"/>
      <w:r w:rsidR="00C54DDD" w:rsidRPr="00B90098">
        <w:rPr>
          <w:rFonts w:ascii="Times New Roman" w:hAnsi="Times New Roman" w:cs="Times New Roman"/>
        </w:rPr>
        <w:t xml:space="preserve">потребности изменения показателей надёжности, качества и </w:t>
      </w:r>
      <w:proofErr w:type="spellStart"/>
      <w:r w:rsidR="00C54DDD" w:rsidRPr="00B90098">
        <w:rPr>
          <w:rFonts w:ascii="Times New Roman" w:hAnsi="Times New Roman" w:cs="Times New Roman"/>
        </w:rPr>
        <w:t>энергоэффективности</w:t>
      </w:r>
      <w:proofErr w:type="spellEnd"/>
      <w:r w:rsidR="00C54DDD" w:rsidRPr="00B90098">
        <w:rPr>
          <w:rFonts w:ascii="Times New Roman" w:hAnsi="Times New Roman" w:cs="Times New Roman"/>
        </w:rPr>
        <w:t xml:space="preserve"> объектов централизованных систем водоснабжения и водоотведения ООО «СКС».</w:t>
      </w:r>
    </w:p>
    <w:p w:rsidR="00C54DDD" w:rsidRDefault="00DA1AB4" w:rsidP="00C54DDD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</w:t>
      </w:r>
      <w:proofErr w:type="gramEnd"/>
      <w:r w:rsidRPr="00A4685F">
        <w:rPr>
          <w:rFonts w:ascii="Times New Roman" w:eastAsia="Times New Roman" w:hAnsi="Times New Roman" w:cs="Times New Roman"/>
          <w:lang w:eastAsia="ru-RU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C7891" w:rsidRDefault="00AC7891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4107"/>
        <w:gridCol w:w="709"/>
        <w:gridCol w:w="55"/>
        <w:gridCol w:w="1046"/>
        <w:gridCol w:w="33"/>
        <w:gridCol w:w="992"/>
        <w:gridCol w:w="171"/>
        <w:gridCol w:w="1134"/>
        <w:gridCol w:w="1417"/>
      </w:tblGrid>
      <w:tr w:rsidR="00C54DDD" w:rsidRPr="00C53738" w:rsidTr="00A820C8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Ед.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изм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1046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747" w:type="dxa"/>
            <w:gridSpan w:val="5"/>
            <w:shd w:val="clear" w:color="auto" w:fill="auto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C54DDD" w:rsidRPr="00C53738" w:rsidTr="00A820C8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2020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96" w:type="dxa"/>
            <w:gridSpan w:val="3"/>
            <w:shd w:val="clear" w:color="auto" w:fill="auto"/>
            <w:hideMark/>
          </w:tcPr>
          <w:p w:rsidR="00C54DDD" w:rsidRPr="009C4866" w:rsidRDefault="00C54DDD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C1D0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  <w:hideMark/>
          </w:tcPr>
          <w:p w:rsidR="00C54DDD" w:rsidRPr="009C4866" w:rsidRDefault="00C54DDD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C1D0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417" w:type="dxa"/>
            <w:shd w:val="clear" w:color="auto" w:fill="auto"/>
            <w:hideMark/>
          </w:tcPr>
          <w:p w:rsidR="00C54DDD" w:rsidRPr="009C4866" w:rsidRDefault="00C54DDD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64324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C54DDD" w:rsidRPr="00C53738" w:rsidTr="00A820C8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664" w:type="dxa"/>
            <w:gridSpan w:val="9"/>
            <w:shd w:val="clear" w:color="auto" w:fill="EEECE1" w:themeFill="background2"/>
            <w:noWrap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C54DDD" w:rsidRPr="00C53738" w:rsidTr="00A820C8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664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C54DDD" w:rsidRPr="00C53738" w:rsidTr="00A820C8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A820C8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общем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A820C8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664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C54DDD" w:rsidRPr="00C53738" w:rsidTr="00A820C8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нность водопроводной сети в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0,20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  <w:hideMark/>
          </w:tcPr>
          <w:p w:rsidR="00C54DDD" w:rsidRPr="00A820C8" w:rsidRDefault="00A820C8" w:rsidP="00A8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Pr="00A820C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</w:tr>
      <w:tr w:rsidR="00C54DDD" w:rsidRPr="00C53738" w:rsidTr="00A820C8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0,27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A8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 w:rsidR="00A820C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</w:tr>
      <w:tr w:rsidR="00C54DDD" w:rsidRPr="00C53738" w:rsidTr="00A820C8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664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C54DDD" w:rsidRPr="00C53738" w:rsidTr="00A820C8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</w:tr>
      <w:tr w:rsidR="00C54DDD" w:rsidRPr="00C53738" w:rsidTr="00A820C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системах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196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C54DDD" w:rsidRPr="00C53738" w:rsidTr="00A820C8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664" w:type="dxa"/>
            <w:gridSpan w:val="9"/>
            <w:shd w:val="clear" w:color="auto" w:fill="EEECE1" w:themeFill="background2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C54DDD" w:rsidRPr="00C53738" w:rsidTr="00A820C8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664" w:type="dxa"/>
            <w:gridSpan w:val="9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C54DDD" w:rsidRPr="00C53738" w:rsidTr="00A820C8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A820C8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   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A820C8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664" w:type="dxa"/>
            <w:gridSpan w:val="9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C54DDD" w:rsidRPr="009C4866" w:rsidTr="00A820C8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Удельное количество аварий и засоров в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расчёте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1305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1,90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</w:tr>
      <w:tr w:rsidR="00C54DDD" w:rsidRPr="00C53738" w:rsidTr="00A820C8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664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C54DDD" w:rsidRPr="00C53738" w:rsidTr="00A820C8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</w:tr>
    </w:tbl>
    <w:p w:rsidR="00C54DDD" w:rsidRDefault="00C54DDD" w:rsidP="00C54DDD">
      <w:r>
        <w:br w:type="page"/>
      </w:r>
    </w:p>
    <w:p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C54DDD">
          <w:pgSz w:w="11906" w:h="16838"/>
          <w:pgMar w:top="1134" w:right="851" w:bottom="567" w:left="567" w:header="567" w:footer="170" w:gutter="0"/>
          <w:cols w:space="708"/>
          <w:docGrid w:linePitch="360"/>
        </w:sectPr>
      </w:pPr>
    </w:p>
    <w:p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водоотведения</w:t>
            </w:r>
          </w:p>
        </w:tc>
      </w:tr>
      <w:tr w:rsidR="008C44F7" w:rsidRPr="009C4866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целях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подключения объектов капитального строительства абонентов </w:t>
            </w:r>
          </w:p>
        </w:tc>
      </w:tr>
      <w:tr w:rsidR="008C44F7" w:rsidRPr="009C4866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4A4179">
        <w:trPr>
          <w:trHeight w:val="28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DA17A1" w:rsidRPr="00DA17A1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Сети водоснабжения г. Саяногорск, от ВК21 до комплекса водозаборных сооружений ул. </w:t>
            </w:r>
            <w:proofErr w:type="gramStart"/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</w:t>
            </w:r>
            <w:proofErr w:type="gramEnd"/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6, L-1856 м, L-300 мм:</w:t>
            </w:r>
          </w:p>
          <w:p w:rsidR="00287489" w:rsidRPr="00957CC7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участок от ВК21 в сторону ВК20, Ду-300 мм, L-640 м:</w:t>
            </w:r>
          </w:p>
        </w:tc>
        <w:tc>
          <w:tcPr>
            <w:tcW w:w="4423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 от комплекса водозаборных сооружений </w:t>
            </w:r>
          </w:p>
          <w:p w:rsidR="00287489" w:rsidRPr="008A3FCC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A3FC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 напорного резервуара чистой воды по адресу: РХ, г. Саяногорск, ул. Дорожная, 6, до ул. Звездная, 1а, Литера Л, Инв. № 620169 </w:t>
            </w: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Pr="009C4866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r w:rsidR="002C532B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местах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исполнения    обязательств, на </w:t>
            </w:r>
            <w:r w:rsidR="00071D89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объектах централизованной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AC6A7B" w:rsidRPr="009C4866" w:rsidRDefault="00AC6A7B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/>
            <w:shd w:val="clear" w:color="auto" w:fill="auto"/>
            <w:noWrap/>
          </w:tcPr>
          <w:p w:rsidR="00287489" w:rsidRPr="00865112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общем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2C532B">
        <w:trPr>
          <w:gridAfter w:val="2"/>
          <w:wAfter w:w="18" w:type="dxa"/>
          <w:trHeight w:val="163"/>
        </w:trPr>
        <w:tc>
          <w:tcPr>
            <w:tcW w:w="677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системах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  <w:p w:rsidR="00AC6A7B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440EFD" w:rsidRPr="009C4866" w:rsidTr="00440EFD">
        <w:trPr>
          <w:gridAfter w:val="2"/>
          <w:wAfter w:w="18" w:type="dxa"/>
          <w:trHeight w:val="661"/>
        </w:trPr>
        <w:tc>
          <w:tcPr>
            <w:tcW w:w="677" w:type="dxa"/>
            <w:vMerge w:val="restart"/>
            <w:vAlign w:val="center"/>
          </w:tcPr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3.1.2</w:t>
            </w:r>
          </w:p>
        </w:tc>
        <w:tc>
          <w:tcPr>
            <w:tcW w:w="3275" w:type="dxa"/>
            <w:vMerge w:val="restart"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г.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Саяногорска</w:t>
            </w:r>
          </w:p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водопровода, литер Л (расположены на территории комплекса водозаборных сооружений)</w:t>
            </w:r>
            <w:proofErr w:type="gramStart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</w:t>
            </w:r>
            <w:proofErr w:type="gramStart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proofErr w:type="gramEnd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нв. № .00062011).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Насосная станция 3-го подъема (комплекс водозаборных сооружений водозабора № 1)</w:t>
            </w:r>
          </w:p>
          <w:p w:rsidR="0082225D" w:rsidRPr="0082225D" w:rsidRDefault="0082225D" w:rsidP="0082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34399"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  <w:t xml:space="preserve">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(инв. № .00062011).</w:t>
            </w:r>
          </w:p>
          <w:p w:rsidR="0082225D" w:rsidRPr="00957CC7" w:rsidRDefault="0082225D" w:rsidP="0082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 xml:space="preserve">L-309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м, Ду-300 мм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водопровода, литер Л (расположены на территории комплекса водозаборных сооружений). Насосная станция 3-го подъема (комплекс водозаборных сооружений водозабора № 1), по адресу: Республика Хакасия, г.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Дорожная, 6</w:t>
            </w: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440EFD" w:rsidRPr="009C4866" w:rsidTr="00440EFD">
        <w:trPr>
          <w:gridAfter w:val="2"/>
          <w:wAfter w:w="18" w:type="dxa"/>
          <w:trHeight w:val="693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общем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440EFD" w:rsidRPr="009C4866" w:rsidTr="00440EFD">
        <w:trPr>
          <w:gridAfter w:val="2"/>
          <w:wAfter w:w="18" w:type="dxa"/>
          <w:trHeight w:val="73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системах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5D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Pr="009C4866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 w:val="restart"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3.1.3</w:t>
            </w:r>
          </w:p>
        </w:tc>
        <w:tc>
          <w:tcPr>
            <w:tcW w:w="3275" w:type="dxa"/>
            <w:vMerge w:val="restart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р.п. Майна</w:t>
            </w:r>
          </w:p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Водопроводная сеть, расположенная по адресу: РХ, г. Саяногорск, р.п.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Майна, ул. </w:t>
            </w:r>
            <w:proofErr w:type="spell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от ТК-596 в </w:t>
            </w:r>
            <w:proofErr w:type="gram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районе</w:t>
            </w:r>
            <w:proofErr w:type="gram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жилого дома 8, через ТК-1, ТК-5, ВКР-1, ВК-1, ВРК-2, ВРК-3, ВК-5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 ВРК-6 в районе жилого дома 85 по улице Набережная, литера Л (инв. № 32)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Водопроводная сеть, расположенная по адресу: РХ, г. Саяногорск, р.п.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Майна, ул. </w:t>
            </w:r>
            <w:proofErr w:type="spell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от ТК-596 в </w:t>
            </w:r>
            <w:proofErr w:type="gram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районе</w:t>
            </w:r>
            <w:proofErr w:type="gram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жилого дома 8, через ТК-1, ТК-5, ВКР-1, ВК-1, ВРК-2, ВРК-3, ВК-5 до ВРК-6 в районе жилого дома 85 по улице Набережная, литера Л</w:t>
            </w: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общем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системах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D3A7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287489" w:rsidRPr="009C4866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:rsidR="00302D05" w:rsidRPr="00957CC7" w:rsidRDefault="00287489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287489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на НС 3</w:t>
            </w:r>
            <w:r w:rsid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</w:t>
            </w:r>
            <w:r w:rsidR="00745206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-го подъема (комплекс водозаборных сооружений водозабора № 1), по адресу: Республика </w:t>
            </w:r>
            <w:r w:rsidR="00745206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Хакасия, г.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302D05" w:rsidRPr="009C4866" w:rsidRDefault="00302D0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8D285B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8D285B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:rsidR="008D285B" w:rsidRPr="00957CC7" w:rsidRDefault="008D285B" w:rsidP="00ED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D285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расхода воды на водозаборе р</w:t>
            </w:r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8D285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п. Майна</w:t>
            </w:r>
          </w:p>
        </w:tc>
        <w:tc>
          <w:tcPr>
            <w:tcW w:w="4423" w:type="dxa"/>
            <w:shd w:val="clear" w:color="auto" w:fill="auto"/>
          </w:tcPr>
          <w:p w:rsidR="008D285B" w:rsidRPr="009C4866" w:rsidRDefault="00EC3014" w:rsidP="0044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1-го подъема (водозабор), по адресу:</w:t>
            </w:r>
            <w:r>
              <w:t xml:space="preserve">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Республика Хакасия, 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Майна,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Береговая, 1А. Инв.№110113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285B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8D285B" w:rsidRPr="009C4866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8D285B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8D285B" w:rsidRPr="009C4866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8D285B" w:rsidRPr="009C4866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EC3014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EC3014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4.3</w:t>
            </w:r>
          </w:p>
        </w:tc>
        <w:tc>
          <w:tcPr>
            <w:tcW w:w="3275" w:type="dxa"/>
            <w:shd w:val="clear" w:color="auto" w:fill="auto"/>
          </w:tcPr>
          <w:p w:rsidR="00EC3014" w:rsidRPr="00957CC7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расхода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воды на НС- 3-ого подъема 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</w:p>
        </w:tc>
        <w:tc>
          <w:tcPr>
            <w:tcW w:w="4423" w:type="dxa"/>
            <w:shd w:val="clear" w:color="auto" w:fill="auto"/>
          </w:tcPr>
          <w:p w:rsidR="00EC3014" w:rsidRPr="009C4866" w:rsidRDefault="00EC3014" w:rsidP="0044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Насосная </w:t>
            </w:r>
            <w:r w:rsidR="00DB33A5"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3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-го подъема, по адресу: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Республика Хакасия, 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64А,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Инв. №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110011а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;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C3014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Удельный расход электрической энергии,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EC3014" w:rsidRPr="009C4866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EC3014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EC3014" w:rsidRPr="009C4866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EC3014" w:rsidRPr="009C4866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302D05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302D05" w:rsidRPr="009C4866" w:rsidRDefault="00302D05" w:rsidP="0030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9D3A78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станция) (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2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8F16A2" w:rsidRDefault="009D3A78" w:rsidP="009D3A78">
            <w:pPr>
              <w:jc w:val="center"/>
            </w:pPr>
            <w:r w:rsidRPr="008F16A2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8F16A2">
              <w:t>-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станция) (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105а.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литер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(инв. № 110011).</w:t>
            </w: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Pr="009C4866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9D075D" w:rsidRDefault="009D3A78" w:rsidP="009D3A78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9D075D">
              <w:t>-</w:t>
            </w:r>
          </w:p>
        </w:tc>
      </w:tr>
      <w:tr w:rsidR="00287489" w:rsidRPr="009C4866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Водоотведение</w:t>
            </w:r>
          </w:p>
        </w:tc>
      </w:tr>
      <w:tr w:rsidR="00287489" w:rsidRPr="009C4866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целях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подключения объектов капитального строительства абонентов </w:t>
            </w:r>
          </w:p>
        </w:tc>
      </w:tr>
      <w:tr w:rsidR="00287489" w:rsidRPr="009C4866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287489" w:rsidRPr="009C4866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644CC7" w:rsidRPr="009C4866" w:rsidTr="008B742E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  <w:hideMark/>
          </w:tcPr>
          <w:p w:rsidR="00644CC7" w:rsidRPr="009C4866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275" w:type="dxa"/>
            <w:shd w:val="clear" w:color="auto" w:fill="auto"/>
            <w:hideMark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оборудования: 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115/38</w:t>
            </w:r>
            <w:proofErr w:type="gram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</w:t>
            </w:r>
            <w:proofErr w:type="gram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(1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</w:p>
          <w:p w:rsidR="00644CC7" w:rsidRPr="009C4866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</w:t>
            </w:r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Гагарина, 159Б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644CC7" w:rsidRPr="009C4866" w:rsidRDefault="00B47874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B4787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  <w:hideMark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shd w:val="clear" w:color="auto" w:fill="auto"/>
            <w:vAlign w:val="center"/>
            <w:hideMark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механических грабель МГ-11Т, дробилки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Канализационная насосная </w:t>
            </w:r>
            <w:r w:rsidR="00B4787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</w:t>
            </w:r>
            <w:r w:rsidR="00B47874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Хакасия, г.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48Б;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недвижимым имуществом: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 11Т, инв. №0789;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Д-35, инв. №0896</w:t>
            </w:r>
          </w:p>
        </w:tc>
        <w:tc>
          <w:tcPr>
            <w:tcW w:w="3969" w:type="dxa"/>
            <w:vMerge/>
            <w:vAlign w:val="center"/>
          </w:tcPr>
          <w:p w:rsidR="009169CA" w:rsidRPr="00E74285" w:rsidRDefault="009169CA" w:rsidP="00B51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E66AFA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3275" w:type="dxa"/>
            <w:shd w:val="clear" w:color="auto" w:fill="auto"/>
          </w:tcPr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Движимое имущество, технологически связанное с недвижимым имуществом: 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Merge/>
            <w:vAlign w:val="center"/>
          </w:tcPr>
          <w:p w:rsidR="00644CC7" w:rsidRPr="00E7428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9D63F5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3275" w:type="dxa"/>
            <w:shd w:val="clear" w:color="auto" w:fill="auto"/>
          </w:tcPr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канализационно-насосная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станция г. Саяногорск.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насос </w:t>
            </w: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СМ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канализационно-насосная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станция,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канализационно-насосная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станция, литер</w:t>
            </w: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(с сетями инженерной инфраструктуры) инв. № 00170068.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3275" w:type="dxa"/>
            <w:shd w:val="clear" w:color="auto" w:fill="auto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Разработка технико-экономического обоснования и выполнение проектно-изыскательских работ на реконструкцию (модернизацию, техническое перевооружение) 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КОС г. Саяногорска по адресу: РХ, г. Саяногорск, г. Саяногорск, 8-ой км Автодороги "Магистраль Саяногорск-Абакан" район пересечения с автодорогой "Магистраль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Бея-Новоенисейка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".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644CC7" w:rsidRPr="00865112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44CC7" w:rsidRPr="007C6DD2" w:rsidRDefault="00644CC7" w:rsidP="00644CC7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44CC7" w:rsidRDefault="00644CC7" w:rsidP="00644CC7">
            <w:pPr>
              <w:jc w:val="center"/>
            </w:pPr>
            <w:r w:rsidRPr="007C6DD2">
              <w:t>-</w:t>
            </w:r>
          </w:p>
        </w:tc>
      </w:tr>
      <w:tr w:rsidR="00644CC7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3275" w:type="dxa"/>
            <w:shd w:val="clear" w:color="auto" w:fill="auto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техническое </w:t>
            </w:r>
            <w:r w:rsidR="00DB33A5"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перевооружение) КОС</w:t>
            </w: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 по адресу: РХ, г. Саяногорск,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ул. Промышленная 16.</w:t>
            </w:r>
          </w:p>
        </w:tc>
        <w:tc>
          <w:tcPr>
            <w:tcW w:w="3969" w:type="dxa"/>
            <w:vAlign w:val="center"/>
          </w:tcPr>
          <w:p w:rsidR="00644CC7" w:rsidRPr="00865112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6F252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44CC7" w:rsidRPr="007C6DD2" w:rsidRDefault="00644CC7" w:rsidP="00644CC7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44CC7" w:rsidRDefault="00644CC7" w:rsidP="00644CC7">
            <w:pPr>
              <w:jc w:val="center"/>
            </w:pPr>
            <w:r w:rsidRPr="007C6DD2">
              <w:t>-</w:t>
            </w:r>
          </w:p>
        </w:tc>
      </w:tr>
      <w:tr w:rsidR="00644CC7" w:rsidRPr="009C4866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водоотведения, не включённых в прочие группы мероприятий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644CC7" w:rsidRPr="0007791E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:rsidR="00644CC7" w:rsidRPr="00EC27C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:rsidR="00644CC7" w:rsidRPr="00EC27C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илосос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ИВР-18MCN/2, 1 шт.</w:t>
            </w:r>
          </w:p>
        </w:tc>
        <w:tc>
          <w:tcPr>
            <w:tcW w:w="4423" w:type="dxa"/>
            <w:shd w:val="clear" w:color="auto" w:fill="auto"/>
          </w:tcPr>
          <w:p w:rsidR="00644CC7" w:rsidRPr="00B875B3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:rsidR="00644CC7" w:rsidRPr="009C486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644CC7" w:rsidRPr="009C4866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644CC7" w:rsidRPr="009C4866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44CC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</w:t>
            </w:r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установок </w:t>
            </w:r>
            <w:proofErr w:type="spellStart"/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на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.М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айна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 шт.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644CC7" w:rsidRPr="00EC27C5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Промышленная, 1б.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44CC7" w:rsidRPr="00ED02F3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</w:tr>
      <w:tr w:rsidR="00644CC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</w:t>
            </w:r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установок </w:t>
            </w:r>
            <w:proofErr w:type="spellStart"/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 шт.</w:t>
            </w:r>
          </w:p>
        </w:tc>
        <w:tc>
          <w:tcPr>
            <w:tcW w:w="4423" w:type="dxa"/>
            <w:shd w:val="clear" w:color="auto" w:fill="auto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644CC7" w:rsidRPr="00EC27C5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92.</w:t>
            </w:r>
          </w:p>
        </w:tc>
        <w:tc>
          <w:tcPr>
            <w:tcW w:w="3969" w:type="dxa"/>
            <w:shd w:val="clear" w:color="auto" w:fill="auto"/>
          </w:tcPr>
          <w:p w:rsidR="00644CC7" w:rsidRPr="00E7428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jc w:val="center"/>
            </w:pPr>
            <w:r w:rsidRPr="00FA6978">
              <w:t>-</w:t>
            </w:r>
          </w:p>
        </w:tc>
      </w:tr>
    </w:tbl>
    <w:p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9466BD" w:rsidRDefault="009466BD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Управляющий  делами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9466BD" w:rsidRPr="00677B88" w:rsidRDefault="009466BD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D3" w:rsidRDefault="00407DD3" w:rsidP="00FC4FC3">
      <w:pPr>
        <w:spacing w:after="0" w:line="240" w:lineRule="auto"/>
      </w:pPr>
      <w:r>
        <w:separator/>
      </w:r>
    </w:p>
  </w:endnote>
  <w:endnote w:type="continuationSeparator" w:id="0">
    <w:p w:rsidR="00407DD3" w:rsidRDefault="00407DD3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D3" w:rsidRDefault="00407DD3" w:rsidP="00FC4FC3">
      <w:pPr>
        <w:spacing w:after="0" w:line="240" w:lineRule="auto"/>
      </w:pPr>
      <w:r>
        <w:separator/>
      </w:r>
    </w:p>
  </w:footnote>
  <w:footnote w:type="continuationSeparator" w:id="0">
    <w:p w:rsidR="00407DD3" w:rsidRDefault="00407DD3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2146E"/>
    <w:rsid w:val="002250DF"/>
    <w:rsid w:val="0023409A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E474A"/>
    <w:rsid w:val="00401A90"/>
    <w:rsid w:val="00407DD3"/>
    <w:rsid w:val="00431C2A"/>
    <w:rsid w:val="00432448"/>
    <w:rsid w:val="00440EFD"/>
    <w:rsid w:val="00442321"/>
    <w:rsid w:val="00447465"/>
    <w:rsid w:val="004763FC"/>
    <w:rsid w:val="004A089A"/>
    <w:rsid w:val="004A4179"/>
    <w:rsid w:val="004D097C"/>
    <w:rsid w:val="004D36CF"/>
    <w:rsid w:val="004D507C"/>
    <w:rsid w:val="004F70F1"/>
    <w:rsid w:val="00500286"/>
    <w:rsid w:val="0050573F"/>
    <w:rsid w:val="00525507"/>
    <w:rsid w:val="00541F16"/>
    <w:rsid w:val="005627CA"/>
    <w:rsid w:val="0056325C"/>
    <w:rsid w:val="00573803"/>
    <w:rsid w:val="005A2601"/>
    <w:rsid w:val="005B19C9"/>
    <w:rsid w:val="005B76E7"/>
    <w:rsid w:val="005C02CC"/>
    <w:rsid w:val="005D0FB0"/>
    <w:rsid w:val="005D1573"/>
    <w:rsid w:val="005D372D"/>
    <w:rsid w:val="005D45CF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767A"/>
    <w:rsid w:val="0076426E"/>
    <w:rsid w:val="007747E3"/>
    <w:rsid w:val="00795D50"/>
    <w:rsid w:val="007A5701"/>
    <w:rsid w:val="007A769F"/>
    <w:rsid w:val="007B2A0E"/>
    <w:rsid w:val="007B4383"/>
    <w:rsid w:val="007B5014"/>
    <w:rsid w:val="007B6926"/>
    <w:rsid w:val="007B7407"/>
    <w:rsid w:val="007F7944"/>
    <w:rsid w:val="008177AB"/>
    <w:rsid w:val="0082225D"/>
    <w:rsid w:val="00833BC8"/>
    <w:rsid w:val="00837A9D"/>
    <w:rsid w:val="0084495F"/>
    <w:rsid w:val="008526B3"/>
    <w:rsid w:val="00862F38"/>
    <w:rsid w:val="00865112"/>
    <w:rsid w:val="00865681"/>
    <w:rsid w:val="008727B6"/>
    <w:rsid w:val="008A3FCC"/>
    <w:rsid w:val="008C162E"/>
    <w:rsid w:val="008C1D09"/>
    <w:rsid w:val="008C2EE3"/>
    <w:rsid w:val="008C44F7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2458B"/>
    <w:rsid w:val="00A26C7F"/>
    <w:rsid w:val="00A325C4"/>
    <w:rsid w:val="00A35BA1"/>
    <w:rsid w:val="00A51E71"/>
    <w:rsid w:val="00A775B2"/>
    <w:rsid w:val="00A820C8"/>
    <w:rsid w:val="00A928FA"/>
    <w:rsid w:val="00AB419C"/>
    <w:rsid w:val="00AC67A6"/>
    <w:rsid w:val="00AC6A7B"/>
    <w:rsid w:val="00AC7891"/>
    <w:rsid w:val="00AD706D"/>
    <w:rsid w:val="00AE110A"/>
    <w:rsid w:val="00AE6189"/>
    <w:rsid w:val="00AE7FF1"/>
    <w:rsid w:val="00B47874"/>
    <w:rsid w:val="00B51CEB"/>
    <w:rsid w:val="00B807DB"/>
    <w:rsid w:val="00B81D15"/>
    <w:rsid w:val="00B90098"/>
    <w:rsid w:val="00C02529"/>
    <w:rsid w:val="00C502C5"/>
    <w:rsid w:val="00C537F0"/>
    <w:rsid w:val="00C54DDD"/>
    <w:rsid w:val="00C60CC2"/>
    <w:rsid w:val="00CA23C4"/>
    <w:rsid w:val="00CD13A5"/>
    <w:rsid w:val="00CE64E2"/>
    <w:rsid w:val="00D2410A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598D3-75DF-4954-BACF-1CA6236D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12</Pages>
  <Words>4247</Words>
  <Characters>24211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9</cp:revision>
  <cp:lastPrinted>2020-08-23T09:39:00Z</cp:lastPrinted>
  <dcterms:created xsi:type="dcterms:W3CDTF">2021-02-19T02:13:00Z</dcterms:created>
  <dcterms:modified xsi:type="dcterms:W3CDTF">2021-02-19T07:26:00Z</dcterms:modified>
</cp:coreProperties>
</file>